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2万吨/年高端PVDF树脂产业链项目（一期）设计采购施工总承包--主工艺装置安装工程专业分包第二次招标公告</w:t>
      </w:r>
    </w:p>
    <w:p>
      <w:pPr>
        <w:pStyle w:val="6"/>
        <w:rPr>
          <w:rFonts w:hint="eastAsia"/>
          <w:color w:val="auto"/>
          <w:highlight w:val="none"/>
          <w:lang w:val="en-US" w:eastAsia="zh-CN"/>
        </w:rPr>
      </w:pPr>
    </w:p>
    <w:p>
      <w:pPr>
        <w:pStyle w:val="7"/>
        <w:numPr>
          <w:ilvl w:val="0"/>
          <w:numId w:val="0"/>
        </w:numPr>
        <w:spacing w:before="0" w:line="240" w:lineRule="auto"/>
        <w:rPr>
          <w:rFonts w:hint="eastAsia" w:ascii="Times New Roman" w:hAnsi="Times New Roman" w:eastAsia="黑体" w:cs="Times New Roman"/>
          <w:b w:val="0"/>
          <w:bCs w:val="0"/>
          <w:color w:val="auto"/>
          <w:kern w:val="2"/>
          <w:sz w:val="24"/>
          <w:szCs w:val="24"/>
          <w:highlight w:val="none"/>
          <w:lang w:val="en-US" w:eastAsia="zh-CN" w:bidi="ar-SA"/>
        </w:rPr>
      </w:pPr>
      <w:bookmarkStart w:id="0" w:name="_Toc152045512"/>
      <w:bookmarkStart w:id="1" w:name="_Toc144974480"/>
      <w:bookmarkStart w:id="2" w:name="_Toc13301"/>
      <w:bookmarkStart w:id="3" w:name="_Toc1982"/>
      <w:bookmarkStart w:id="4" w:name="_Toc152042288"/>
      <w:r>
        <w:rPr>
          <w:rFonts w:hint="eastAsia" w:ascii="Times New Roman" w:hAnsi="Times New Roman" w:eastAsia="黑体" w:cs="Times New Roman"/>
          <w:b w:val="0"/>
          <w:bCs w:val="0"/>
          <w:color w:val="auto"/>
          <w:kern w:val="2"/>
          <w:sz w:val="24"/>
          <w:szCs w:val="24"/>
          <w:highlight w:val="none"/>
          <w:lang w:val="en-US" w:eastAsia="zh-CN" w:bidi="ar-SA"/>
        </w:rPr>
        <w:t>1. 招标条件</w:t>
      </w:r>
      <w:bookmarkEnd w:id="0"/>
      <w:bookmarkEnd w:id="1"/>
      <w:bookmarkEnd w:id="2"/>
      <w:bookmarkEnd w:id="3"/>
      <w:bookmarkEnd w:id="4"/>
    </w:p>
    <w:p>
      <w:pPr>
        <w:spacing w:line="360" w:lineRule="auto"/>
        <w:ind w:left="-141" w:leftChars="-67" w:firstLine="283" w:firstLineChars="135"/>
        <w:jc w:val="left"/>
        <w:rPr>
          <w:color w:val="auto"/>
          <w:szCs w:val="21"/>
          <w:highlight w:val="none"/>
        </w:rPr>
      </w:pPr>
      <w:r>
        <w:rPr>
          <w:rFonts w:hint="eastAsia" w:ascii="Calibri" w:hAnsi="Calibri" w:cs="Calibri"/>
          <w:color w:val="auto"/>
          <w:szCs w:val="21"/>
          <w:highlight w:val="none"/>
        </w:rPr>
        <w:t>本招标项目</w:t>
      </w:r>
      <w:r>
        <w:rPr>
          <w:rFonts w:hint="eastAsia" w:ascii="Calibri" w:hAnsi="Calibri" w:cs="Calibri"/>
          <w:color w:val="auto"/>
          <w:szCs w:val="21"/>
          <w:highlight w:val="none"/>
          <w:u w:val="single"/>
          <w:lang w:val="en-US" w:eastAsia="zh-CN"/>
        </w:rPr>
        <w:t>2万吨/年高端PVDF树脂产业链项目（一期）</w:t>
      </w:r>
      <w:r>
        <w:rPr>
          <w:rFonts w:hint="eastAsia" w:ascii="Calibri" w:hAnsi="Calibri" w:cs="Calibri"/>
          <w:color w:val="auto"/>
          <w:szCs w:val="21"/>
          <w:highlight w:val="none"/>
          <w:u w:val="single"/>
          <w:lang w:val="zh-CN"/>
        </w:rPr>
        <w:t>已</w:t>
      </w:r>
      <w:r>
        <w:rPr>
          <w:rFonts w:hint="eastAsia" w:ascii="Calibri" w:hAnsi="Calibri" w:cs="Calibri"/>
          <w:color w:val="auto"/>
          <w:szCs w:val="21"/>
          <w:highlight w:val="none"/>
          <w:u w:val="single"/>
        </w:rPr>
        <w:t>在金昌市经济技术开发区完成登记备案（备案号：金开经发备〔2023〕</w:t>
      </w:r>
      <w:r>
        <w:rPr>
          <w:rFonts w:hint="eastAsia" w:ascii="Calibri" w:hAnsi="Calibri" w:eastAsia="宋体" w:cs="Calibri"/>
          <w:color w:val="auto"/>
          <w:szCs w:val="21"/>
          <w:highlight w:val="none"/>
          <w:u w:val="single"/>
          <w:lang w:val="en-US" w:eastAsia="zh-CN"/>
        </w:rPr>
        <w:t>81</w:t>
      </w:r>
      <w:r>
        <w:rPr>
          <w:rFonts w:hint="eastAsia" w:ascii="Calibri" w:hAnsi="Calibri" w:cs="Calibri"/>
          <w:color w:val="auto"/>
          <w:szCs w:val="21"/>
          <w:highlight w:val="none"/>
          <w:u w:val="single"/>
        </w:rPr>
        <w:t>号），项目代码：</w:t>
      </w:r>
      <w:r>
        <w:rPr>
          <w:rFonts w:hint="eastAsia" w:ascii="Calibri" w:hAnsi="Calibri" w:cs="Calibri"/>
          <w:color w:val="auto"/>
          <w:szCs w:val="21"/>
          <w:highlight w:val="none"/>
          <w:u w:val="single"/>
          <w:lang w:val="zh-CN"/>
        </w:rPr>
        <w:t>【</w:t>
      </w:r>
      <w:r>
        <w:rPr>
          <w:rFonts w:hint="eastAsia" w:ascii="Calibri" w:hAnsi="Calibri" w:cs="Calibri"/>
          <w:color w:val="auto"/>
          <w:szCs w:val="21"/>
          <w:highlight w:val="none"/>
          <w:u w:val="single"/>
        </w:rPr>
        <w:t>23</w:t>
      </w:r>
      <w:r>
        <w:rPr>
          <w:rFonts w:hint="eastAsia" w:ascii="Calibri" w:hAnsi="Calibri" w:cs="Calibri"/>
          <w:color w:val="auto"/>
          <w:szCs w:val="21"/>
          <w:highlight w:val="none"/>
          <w:u w:val="single"/>
          <w:lang w:val="en-US" w:eastAsia="zh-CN"/>
        </w:rPr>
        <w:t>10</w:t>
      </w:r>
      <w:r>
        <w:rPr>
          <w:rFonts w:hint="eastAsia" w:ascii="Calibri" w:hAnsi="Calibri" w:cs="Calibri"/>
          <w:color w:val="auto"/>
          <w:szCs w:val="21"/>
          <w:highlight w:val="none"/>
          <w:u w:val="single"/>
        </w:rPr>
        <w:t>-620303-04-0</w:t>
      </w:r>
      <w:r>
        <w:rPr>
          <w:rFonts w:hint="eastAsia" w:ascii="Calibri" w:hAnsi="Calibri" w:cs="Calibri"/>
          <w:color w:val="auto"/>
          <w:szCs w:val="21"/>
          <w:highlight w:val="none"/>
          <w:u w:val="single"/>
          <w:lang w:val="en-US" w:eastAsia="zh-CN"/>
        </w:rPr>
        <w:t>5</w:t>
      </w:r>
      <w:r>
        <w:rPr>
          <w:rFonts w:hint="eastAsia" w:ascii="Calibri" w:hAnsi="Calibri" w:cs="Calibri"/>
          <w:color w:val="auto"/>
          <w:szCs w:val="21"/>
          <w:highlight w:val="none"/>
          <w:u w:val="single"/>
        </w:rPr>
        <w:t>-</w:t>
      </w:r>
      <w:r>
        <w:rPr>
          <w:rFonts w:hint="eastAsia" w:ascii="Calibri" w:hAnsi="Calibri" w:cs="Calibri"/>
          <w:color w:val="auto"/>
          <w:szCs w:val="21"/>
          <w:highlight w:val="none"/>
          <w:u w:val="single"/>
          <w:lang w:val="en-US" w:eastAsia="zh-CN"/>
        </w:rPr>
        <w:t>276448</w:t>
      </w:r>
      <w:r>
        <w:rPr>
          <w:rFonts w:hint="eastAsia" w:ascii="Calibri" w:hAnsi="Calibri" w:cs="Calibri"/>
          <w:color w:val="auto"/>
          <w:szCs w:val="21"/>
          <w:highlight w:val="none"/>
          <w:u w:val="single"/>
          <w:lang w:val="zh-CN"/>
        </w:rPr>
        <w:t>】</w:t>
      </w:r>
      <w:r>
        <w:rPr>
          <w:rFonts w:hint="eastAsia" w:ascii="Calibri" w:hAnsi="Calibri" w:cs="Calibri"/>
          <w:color w:val="auto"/>
          <w:szCs w:val="21"/>
          <w:highlight w:val="none"/>
        </w:rPr>
        <w:t>批准建设，项目总承包单位为</w:t>
      </w:r>
      <w:r>
        <w:rPr>
          <w:rFonts w:hint="eastAsia" w:ascii="Calibri" w:hAnsi="Calibri" w:cs="Calibri"/>
          <w:color w:val="auto"/>
          <w:szCs w:val="21"/>
          <w:highlight w:val="none"/>
          <w:u w:val="single"/>
        </w:rPr>
        <w:t>金川集团工程建设有限公司</w:t>
      </w:r>
      <w:r>
        <w:rPr>
          <w:rFonts w:hint="eastAsia" w:ascii="Calibri" w:hAnsi="Calibri" w:cs="Calibri"/>
          <w:color w:val="auto"/>
          <w:szCs w:val="21"/>
          <w:highlight w:val="none"/>
        </w:rPr>
        <w:t>，建设资金来自</w:t>
      </w:r>
      <w:r>
        <w:rPr>
          <w:rFonts w:hint="eastAsia" w:ascii="Calibri" w:hAnsi="Calibri" w:cs="Calibri"/>
          <w:color w:val="auto"/>
          <w:szCs w:val="21"/>
          <w:highlight w:val="none"/>
          <w:lang w:val="en-US" w:eastAsia="zh-CN"/>
        </w:rPr>
        <w:t>4</w:t>
      </w:r>
      <w:r>
        <w:rPr>
          <w:rFonts w:hint="eastAsia" w:ascii="Calibri" w:hAnsi="Calibri" w:cs="Calibri"/>
          <w:color w:val="auto"/>
          <w:szCs w:val="21"/>
          <w:highlight w:val="none"/>
        </w:rPr>
        <w:t>0%自筹、</w:t>
      </w:r>
      <w:r>
        <w:rPr>
          <w:rFonts w:hint="eastAsia" w:ascii="Calibri" w:hAnsi="Calibri" w:cs="Calibri"/>
          <w:color w:val="auto"/>
          <w:szCs w:val="21"/>
          <w:highlight w:val="none"/>
          <w:lang w:val="en-US" w:eastAsia="zh-CN"/>
        </w:rPr>
        <w:t>6</w:t>
      </w:r>
      <w:r>
        <w:rPr>
          <w:rFonts w:hint="eastAsia" w:ascii="Calibri" w:hAnsi="Calibri" w:cs="Calibri"/>
          <w:color w:val="auto"/>
          <w:szCs w:val="21"/>
          <w:highlight w:val="none"/>
        </w:rPr>
        <w:t>0%贷款，招标人为</w:t>
      </w:r>
      <w:r>
        <w:rPr>
          <w:rFonts w:hint="eastAsia" w:ascii="Calibri" w:hAnsi="Calibri" w:cs="Calibri"/>
          <w:color w:val="auto"/>
          <w:szCs w:val="21"/>
          <w:highlight w:val="none"/>
          <w:u w:val="single"/>
        </w:rPr>
        <w:t>金川集团工程建设有限公司</w:t>
      </w:r>
      <w:r>
        <w:rPr>
          <w:rFonts w:hint="eastAsia" w:ascii="Calibri" w:hAnsi="Calibri" w:cs="Calibri"/>
          <w:color w:val="auto"/>
          <w:szCs w:val="21"/>
          <w:highlight w:val="none"/>
        </w:rPr>
        <w:t>。项目已具备招标条件，现对该项目</w:t>
      </w:r>
      <w:r>
        <w:rPr>
          <w:rFonts w:hint="eastAsia" w:ascii="Calibri" w:hAnsi="Calibri" w:cs="Calibri"/>
          <w:color w:val="auto"/>
          <w:szCs w:val="21"/>
          <w:highlight w:val="none"/>
          <w:u w:val="single"/>
          <w:lang w:val="en-US" w:eastAsia="zh-CN"/>
        </w:rPr>
        <w:t>主工艺装置安装工程</w:t>
      </w:r>
      <w:r>
        <w:rPr>
          <w:rFonts w:hint="eastAsia" w:ascii="Calibri" w:hAnsi="Calibri" w:cs="Calibri"/>
          <w:color w:val="auto"/>
          <w:szCs w:val="21"/>
          <w:highlight w:val="none"/>
          <w:u w:val="none"/>
          <w:lang w:val="en-US" w:eastAsia="zh-CN"/>
        </w:rPr>
        <w:t>专业分包</w:t>
      </w:r>
      <w:r>
        <w:rPr>
          <w:rFonts w:hint="eastAsia" w:ascii="Calibri" w:hAnsi="Calibri" w:cs="Calibri"/>
          <w:color w:val="auto"/>
          <w:szCs w:val="21"/>
          <w:highlight w:val="none"/>
        </w:rPr>
        <w:t>进行公开招标。</w:t>
      </w:r>
    </w:p>
    <w:p>
      <w:pPr>
        <w:pStyle w:val="7"/>
        <w:numPr>
          <w:ilvl w:val="0"/>
          <w:numId w:val="0"/>
        </w:numPr>
        <w:spacing w:before="0" w:line="240" w:lineRule="auto"/>
        <w:rPr>
          <w:rFonts w:hint="eastAsia" w:ascii="Times New Roman" w:hAnsi="Times New Roman" w:eastAsia="黑体" w:cs="Times New Roman"/>
          <w:b w:val="0"/>
          <w:bCs w:val="0"/>
          <w:color w:val="auto"/>
          <w:kern w:val="2"/>
          <w:sz w:val="24"/>
          <w:szCs w:val="24"/>
          <w:highlight w:val="none"/>
          <w:lang w:val="en-US" w:eastAsia="zh-CN" w:bidi="ar-SA"/>
        </w:rPr>
      </w:pPr>
      <w:bookmarkStart w:id="5" w:name="_Toc144974481"/>
      <w:bookmarkStart w:id="6" w:name="_Toc152045513"/>
      <w:bookmarkStart w:id="7" w:name="_Toc152042289"/>
      <w:bookmarkStart w:id="8" w:name="_Toc20980"/>
      <w:bookmarkStart w:id="9" w:name="_Toc19785"/>
      <w:r>
        <w:rPr>
          <w:rFonts w:hint="eastAsia" w:ascii="Times New Roman" w:hAnsi="Times New Roman" w:eastAsia="黑体" w:cs="Times New Roman"/>
          <w:b w:val="0"/>
          <w:bCs w:val="0"/>
          <w:color w:val="auto"/>
          <w:kern w:val="2"/>
          <w:sz w:val="24"/>
          <w:szCs w:val="24"/>
          <w:highlight w:val="none"/>
          <w:lang w:val="en-US" w:eastAsia="zh-CN" w:bidi="ar-SA"/>
        </w:rPr>
        <w:t>2. 项目概况与招标范围</w:t>
      </w:r>
      <w:bookmarkEnd w:id="5"/>
      <w:bookmarkEnd w:id="6"/>
      <w:bookmarkEnd w:id="7"/>
      <w:bookmarkEnd w:id="8"/>
      <w:bookmarkEnd w:id="9"/>
    </w:p>
    <w:p>
      <w:pPr>
        <w:spacing w:line="360" w:lineRule="auto"/>
        <w:ind w:firstLine="424" w:firstLineChars="202"/>
        <w:rPr>
          <w:rFonts w:hint="eastAsia"/>
          <w:color w:val="auto"/>
          <w:szCs w:val="21"/>
          <w:highlight w:val="none"/>
          <w:u w:val="single"/>
          <w:lang w:val="en-US" w:eastAsia="zh-CN"/>
        </w:rPr>
      </w:pPr>
      <w:r>
        <w:rPr>
          <w:rFonts w:hint="eastAsia"/>
          <w:color w:val="auto"/>
          <w:szCs w:val="21"/>
          <w:highlight w:val="none"/>
        </w:rPr>
        <w:t>2.1建设地点：金昌市金川集团公司三厂区</w:t>
      </w:r>
    </w:p>
    <w:p>
      <w:pPr>
        <w:spacing w:line="360" w:lineRule="auto"/>
        <w:ind w:firstLine="424" w:firstLineChars="202"/>
        <w:rPr>
          <w:rFonts w:hint="eastAsia"/>
          <w:color w:val="auto"/>
          <w:szCs w:val="21"/>
          <w:highlight w:val="none"/>
        </w:rPr>
      </w:pPr>
      <w:r>
        <w:rPr>
          <w:rFonts w:hint="eastAsia"/>
          <w:color w:val="auto"/>
          <w:szCs w:val="21"/>
          <w:highlight w:val="none"/>
        </w:rPr>
        <w:t>2.2建设</w:t>
      </w:r>
      <w:r>
        <w:rPr>
          <w:color w:val="auto"/>
          <w:szCs w:val="21"/>
          <w:highlight w:val="none"/>
        </w:rPr>
        <w:t>规模</w:t>
      </w:r>
      <w:r>
        <w:rPr>
          <w:rFonts w:hint="eastAsia"/>
          <w:color w:val="auto"/>
          <w:szCs w:val="21"/>
          <w:highlight w:val="none"/>
        </w:rPr>
        <w:t>：</w:t>
      </w:r>
    </w:p>
    <w:p>
      <w:pPr>
        <w:spacing w:line="360" w:lineRule="auto"/>
        <w:ind w:firstLine="424" w:firstLineChars="202"/>
        <w:rPr>
          <w:rFonts w:hint="eastAsia"/>
          <w:color w:val="auto"/>
          <w:szCs w:val="21"/>
          <w:highlight w:val="none"/>
          <w:lang w:val="en-US" w:eastAsia="zh-CN"/>
        </w:rPr>
      </w:pPr>
      <w:bookmarkStart w:id="10" w:name="_Toc152045514"/>
      <w:bookmarkStart w:id="11" w:name="_Toc144974482"/>
      <w:bookmarkStart w:id="12" w:name="_Toc152042290"/>
      <w:bookmarkStart w:id="13" w:name="_Hlk61338869"/>
      <w:r>
        <w:rPr>
          <w:rFonts w:hint="eastAsia"/>
          <w:color w:val="auto"/>
          <w:szCs w:val="21"/>
          <w:highlight w:val="none"/>
          <w:lang w:val="en-US" w:eastAsia="zh-CN"/>
        </w:rPr>
        <w:t>新建PVDF生产线1万吨/年生产装置，包含1.26万吨/年R152a生产单元（配套乙炔发生装置）、1.8万吨/年二氟一氯乙烷（R142b）、1.1万吨/年VDF生产单元、1万吨/年PVDF生产单元及4万吨/年聚合氯化铝（固体）生产单元规模。</w:t>
      </w:r>
    </w:p>
    <w:p>
      <w:pPr>
        <w:spacing w:line="360" w:lineRule="auto"/>
        <w:ind w:firstLine="424" w:firstLineChars="202"/>
        <w:rPr>
          <w:rFonts w:hint="eastAsia"/>
          <w:color w:val="auto"/>
          <w:szCs w:val="21"/>
          <w:highlight w:val="none"/>
          <w:lang w:val="en-US" w:eastAsia="zh-CN"/>
        </w:rPr>
      </w:pPr>
      <w:r>
        <w:rPr>
          <w:rFonts w:hint="eastAsia"/>
          <w:color w:val="auto"/>
          <w:szCs w:val="21"/>
          <w:highlight w:val="none"/>
          <w:lang w:val="en-US" w:eastAsia="zh-CN"/>
        </w:rPr>
        <w:t>新建公用工程及三废处置子项：装置配套原料及产品罐区、装卸区、配套变配电站、机柜室（含工程师站）、冷冻站，化验综合楼、事故水池、危废库、固废库、五金仓库、循环水站、中控室、管廊、综合管网、消防系统、道路下水（隐蔽工程）、焚烧装置、污水处理、氟化钙装置、空压制氮站、纯水站、换热站、装卸站、备件及机修库等。</w:t>
      </w:r>
    </w:p>
    <w:p>
      <w:pPr>
        <w:spacing w:line="360" w:lineRule="auto"/>
        <w:ind w:firstLine="424" w:firstLineChars="202"/>
        <w:rPr>
          <w:rFonts w:hint="eastAsia"/>
          <w:color w:val="auto"/>
          <w:szCs w:val="21"/>
          <w:highlight w:val="none"/>
        </w:rPr>
      </w:pPr>
      <w:r>
        <w:rPr>
          <w:rFonts w:hint="eastAsia"/>
          <w:color w:val="auto"/>
          <w:szCs w:val="21"/>
          <w:highlight w:val="none"/>
        </w:rPr>
        <w:t>2.3招标范围：</w:t>
      </w:r>
    </w:p>
    <w:p>
      <w:pPr>
        <w:spacing w:line="360" w:lineRule="auto"/>
        <w:ind w:firstLine="595" w:firstLineChars="301"/>
        <w:rPr>
          <w:rFonts w:hint="default" w:ascii="宋体" w:hAnsi="宋体" w:eastAsia="宋体"/>
          <w:color w:val="auto"/>
          <w:szCs w:val="21"/>
          <w:highlight w:val="none"/>
          <w:lang w:val="en-US" w:eastAsia="zh-CN"/>
        </w:rPr>
      </w:pPr>
      <w:r>
        <w:rPr>
          <w:rFonts w:hint="eastAsia" w:ascii="宋体" w:hAnsi="宋体" w:cs="宋体"/>
          <w:color w:val="auto"/>
          <w:spacing w:val="-6"/>
          <w:szCs w:val="21"/>
          <w:highlight w:val="none"/>
        </w:rPr>
        <w:t>R152a、R142b、VDF、PVDF、酸碱及液化烃罐区、液氯中转库区</w:t>
      </w:r>
      <w:r>
        <w:rPr>
          <w:rFonts w:hint="eastAsia" w:ascii="宋体" w:hAnsi="宋体" w:cs="宋体"/>
          <w:color w:val="auto"/>
          <w:spacing w:val="-6"/>
          <w:szCs w:val="21"/>
          <w:highlight w:val="none"/>
          <w:lang w:val="en-US" w:eastAsia="zh-CN"/>
        </w:rPr>
        <w:t>所有设备及管道（包括装置</w:t>
      </w:r>
      <w:r>
        <w:rPr>
          <w:rFonts w:hint="eastAsia" w:ascii="宋体" w:hAnsi="宋体" w:cs="宋体"/>
          <w:color w:val="auto"/>
          <w:spacing w:val="-10"/>
          <w:szCs w:val="21"/>
          <w:highlight w:val="none"/>
          <w:lang w:eastAsia="zh-CN"/>
        </w:rPr>
        <w:t>给排水、</w:t>
      </w:r>
      <w:r>
        <w:rPr>
          <w:rFonts w:hint="eastAsia" w:ascii="宋体" w:hAnsi="宋体" w:cs="宋体"/>
          <w:color w:val="auto"/>
          <w:spacing w:val="-10"/>
          <w:szCs w:val="21"/>
          <w:highlight w:val="none"/>
          <w:lang w:val="en-US" w:eastAsia="zh-CN"/>
        </w:rPr>
        <w:t>暖通、</w:t>
      </w:r>
      <w:r>
        <w:rPr>
          <w:rFonts w:hint="eastAsia" w:ascii="宋体" w:hAnsi="宋体" w:cs="宋体"/>
          <w:color w:val="auto"/>
          <w:spacing w:val="-6"/>
          <w:szCs w:val="21"/>
          <w:highlight w:val="none"/>
          <w:lang w:val="en-US" w:eastAsia="zh-CN"/>
        </w:rPr>
        <w:t>内管廊上管道）</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lang w:val="en-US" w:eastAsia="zh-CN"/>
        </w:rPr>
        <w:t>界区外管道</w:t>
      </w:r>
      <w:r>
        <w:rPr>
          <w:rFonts w:hint="eastAsia" w:ascii="宋体" w:hAnsi="宋体" w:eastAsia="宋体" w:cs="宋体"/>
          <w:color w:val="auto"/>
          <w:spacing w:val="-6"/>
          <w:szCs w:val="21"/>
          <w:highlight w:val="none"/>
          <w:lang w:eastAsia="zh-CN"/>
        </w:rPr>
        <w:t>、</w:t>
      </w:r>
      <w:r>
        <w:rPr>
          <w:rFonts w:hint="eastAsia" w:ascii="宋体" w:hAnsi="宋体" w:eastAsia="宋体" w:cs="宋体"/>
          <w:color w:val="auto"/>
          <w:spacing w:val="-6"/>
          <w:szCs w:val="21"/>
          <w:highlight w:val="none"/>
          <w:lang w:val="en-US" w:eastAsia="zh-CN"/>
        </w:rPr>
        <w:t>外管廊所有管道、其他装置内部管廊</w:t>
      </w:r>
      <w:r>
        <w:rPr>
          <w:rFonts w:hint="eastAsia" w:ascii="宋体" w:hAnsi="宋体" w:cs="宋体"/>
          <w:color w:val="auto"/>
          <w:spacing w:val="-6"/>
          <w:szCs w:val="21"/>
          <w:highlight w:val="none"/>
        </w:rPr>
        <w:t>涉及到酸碱</w:t>
      </w:r>
      <w:r>
        <w:rPr>
          <w:rFonts w:hint="eastAsia" w:ascii="宋体" w:hAnsi="宋体" w:cs="宋体"/>
          <w:color w:val="auto"/>
          <w:spacing w:val="-6"/>
          <w:szCs w:val="21"/>
          <w:highlight w:val="none"/>
          <w:lang w:val="en-US" w:eastAsia="zh-CN"/>
        </w:rPr>
        <w:t>和</w:t>
      </w:r>
      <w:r>
        <w:rPr>
          <w:rFonts w:hint="eastAsia" w:ascii="宋体" w:hAnsi="宋体" w:cs="宋体"/>
          <w:color w:val="auto"/>
          <w:spacing w:val="-6"/>
          <w:szCs w:val="21"/>
          <w:highlight w:val="none"/>
        </w:rPr>
        <w:t>液化烃介质的</w:t>
      </w:r>
      <w:r>
        <w:rPr>
          <w:rFonts w:hint="eastAsia" w:ascii="宋体" w:hAnsi="宋体" w:cs="宋体"/>
          <w:color w:val="auto"/>
          <w:spacing w:val="-6"/>
          <w:szCs w:val="21"/>
          <w:highlight w:val="none"/>
          <w:lang w:val="en-US" w:eastAsia="zh-CN"/>
        </w:rPr>
        <w:t>设备及</w:t>
      </w:r>
      <w:r>
        <w:rPr>
          <w:rFonts w:hint="eastAsia" w:ascii="宋体" w:hAnsi="宋体" w:cs="宋体"/>
          <w:color w:val="auto"/>
          <w:spacing w:val="-6"/>
          <w:szCs w:val="21"/>
          <w:highlight w:val="none"/>
        </w:rPr>
        <w:t>管</w:t>
      </w:r>
      <w:r>
        <w:rPr>
          <w:rFonts w:hint="eastAsia" w:ascii="宋体" w:hAnsi="宋体" w:cs="宋体"/>
          <w:color w:val="auto"/>
          <w:spacing w:val="-6"/>
          <w:szCs w:val="21"/>
          <w:highlight w:val="none"/>
          <w:lang w:val="en-US" w:eastAsia="zh-CN"/>
        </w:rPr>
        <w:t>道</w:t>
      </w:r>
      <w:r>
        <w:rPr>
          <w:rFonts w:ascii="宋体" w:hAnsi="宋体" w:cs="宋体"/>
          <w:color w:val="auto"/>
          <w:spacing w:val="-5"/>
          <w:szCs w:val="21"/>
          <w:highlight w:val="none"/>
        </w:rPr>
        <w:t>等</w:t>
      </w:r>
      <w:r>
        <w:rPr>
          <w:rFonts w:hint="eastAsia" w:ascii="宋体" w:hAnsi="宋体" w:cs="宋体"/>
          <w:color w:val="auto"/>
          <w:spacing w:val="-5"/>
          <w:szCs w:val="21"/>
          <w:highlight w:val="none"/>
        </w:rPr>
        <w:t>的</w:t>
      </w:r>
      <w:r>
        <w:rPr>
          <w:rFonts w:ascii="宋体" w:hAnsi="宋体" w:cs="宋体"/>
          <w:color w:val="auto"/>
          <w:spacing w:val="-5"/>
          <w:szCs w:val="21"/>
          <w:highlight w:val="none"/>
        </w:rPr>
        <w:t>施工，包括全部设备、阀门</w:t>
      </w:r>
      <w:r>
        <w:rPr>
          <w:rFonts w:hint="eastAsia" w:ascii="宋体" w:hAnsi="宋体" w:cs="宋体"/>
          <w:color w:val="auto"/>
          <w:spacing w:val="-5"/>
          <w:szCs w:val="21"/>
          <w:highlight w:val="none"/>
          <w:lang w:val="en-US" w:eastAsia="zh-CN"/>
        </w:rPr>
        <w:t>及其</w:t>
      </w:r>
      <w:r>
        <w:rPr>
          <w:rFonts w:ascii="宋体" w:hAnsi="宋体" w:cs="宋体"/>
          <w:color w:val="auto"/>
          <w:spacing w:val="-6"/>
          <w:szCs w:val="21"/>
          <w:highlight w:val="none"/>
        </w:rPr>
        <w:t>之间连接管道的安装，</w:t>
      </w:r>
      <w:r>
        <w:rPr>
          <w:rFonts w:ascii="宋体" w:hAnsi="宋体" w:cs="宋体"/>
          <w:color w:val="auto"/>
          <w:spacing w:val="-24"/>
          <w:szCs w:val="21"/>
          <w:highlight w:val="none"/>
        </w:rPr>
        <w:t xml:space="preserve"> </w:t>
      </w:r>
      <w:r>
        <w:rPr>
          <w:rFonts w:ascii="宋体" w:hAnsi="宋体" w:cs="宋体"/>
          <w:color w:val="auto"/>
          <w:spacing w:val="-6"/>
          <w:szCs w:val="21"/>
          <w:highlight w:val="none"/>
        </w:rPr>
        <w:t>各管道和阀门的防腐、保温</w:t>
      </w:r>
      <w:r>
        <w:rPr>
          <w:rFonts w:ascii="宋体" w:hAnsi="宋体" w:cs="宋体"/>
          <w:color w:val="auto"/>
          <w:spacing w:val="-7"/>
          <w:szCs w:val="21"/>
          <w:highlight w:val="none"/>
        </w:rPr>
        <w:t>、伴热等</w:t>
      </w:r>
      <w:r>
        <w:rPr>
          <w:rFonts w:hint="eastAsia" w:ascii="宋体" w:hAnsi="宋体" w:cs="宋体"/>
          <w:color w:val="auto"/>
          <w:spacing w:val="-10"/>
          <w:szCs w:val="21"/>
          <w:highlight w:val="none"/>
          <w:lang w:eastAsia="zh-CN"/>
        </w:rPr>
        <w:t>（</w:t>
      </w:r>
      <w:r>
        <w:rPr>
          <w:rFonts w:hint="eastAsia" w:ascii="宋体" w:hAnsi="宋体" w:cs="宋体"/>
          <w:color w:val="auto"/>
          <w:spacing w:val="-10"/>
          <w:szCs w:val="21"/>
          <w:highlight w:val="none"/>
          <w:lang w:val="en-US" w:eastAsia="zh-CN"/>
        </w:rPr>
        <w:t>全部设备及部分材料由招标人负责提供</w:t>
      </w:r>
      <w:r>
        <w:rPr>
          <w:rFonts w:hint="eastAsia" w:ascii="宋体" w:hAnsi="宋体" w:cs="宋体"/>
          <w:color w:val="auto"/>
          <w:spacing w:val="-10"/>
          <w:szCs w:val="21"/>
          <w:highlight w:val="none"/>
          <w:lang w:eastAsia="zh-CN"/>
        </w:rPr>
        <w:t>）</w:t>
      </w:r>
      <w:r>
        <w:rPr>
          <w:rFonts w:ascii="宋体" w:hAnsi="宋体" w:cs="宋体"/>
          <w:color w:val="auto"/>
          <w:spacing w:val="-10"/>
          <w:szCs w:val="21"/>
          <w:highlight w:val="none"/>
        </w:rPr>
        <w:t>。</w:t>
      </w:r>
      <w:r>
        <w:rPr>
          <w:rFonts w:hint="eastAsia" w:ascii="宋体" w:hAnsi="宋体" w:cs="宋体"/>
          <w:color w:val="auto"/>
          <w:spacing w:val="-10"/>
          <w:szCs w:val="21"/>
          <w:highlight w:val="none"/>
          <w:lang w:val="en-US" w:eastAsia="zh-CN"/>
        </w:rPr>
        <w:t>设备安装范围见发包人提供的设备清单明细。</w:t>
      </w:r>
    </w:p>
    <w:p>
      <w:pPr>
        <w:adjustRightInd w:val="0"/>
        <w:snapToGrid w:val="0"/>
        <w:spacing w:line="360" w:lineRule="auto"/>
        <w:ind w:firstLine="424" w:firstLineChars="202"/>
        <w:rPr>
          <w:color w:val="auto"/>
          <w:szCs w:val="21"/>
          <w:highlight w:val="none"/>
        </w:rPr>
      </w:pPr>
      <w:r>
        <w:rPr>
          <w:rFonts w:hint="eastAsia"/>
          <w:color w:val="auto"/>
          <w:szCs w:val="21"/>
          <w:highlight w:val="none"/>
        </w:rPr>
        <w:t>2.4标段划分：</w:t>
      </w:r>
      <w:r>
        <w:rPr>
          <w:rFonts w:hint="eastAsia"/>
          <w:color w:val="auto"/>
          <w:szCs w:val="21"/>
          <w:highlight w:val="none"/>
          <w:u w:val="single"/>
        </w:rPr>
        <w:t>本项目只有一个</w:t>
      </w:r>
      <w:r>
        <w:rPr>
          <w:color w:val="auto"/>
          <w:szCs w:val="21"/>
          <w:highlight w:val="none"/>
          <w:u w:val="single"/>
        </w:rPr>
        <w:t>标段</w:t>
      </w:r>
      <w:r>
        <w:rPr>
          <w:rFonts w:hint="eastAsia"/>
          <w:color w:val="auto"/>
          <w:szCs w:val="21"/>
          <w:highlight w:val="none"/>
        </w:rPr>
        <w:t>。</w:t>
      </w:r>
    </w:p>
    <w:p>
      <w:pPr>
        <w:spacing w:line="360" w:lineRule="auto"/>
        <w:ind w:firstLine="424" w:firstLineChars="202"/>
        <w:rPr>
          <w:color w:val="auto"/>
          <w:szCs w:val="21"/>
          <w:highlight w:val="none"/>
        </w:rPr>
      </w:pPr>
      <w:bookmarkStart w:id="32" w:name="_GoBack"/>
      <w:r>
        <w:rPr>
          <w:rFonts w:hint="eastAsia"/>
          <w:color w:val="auto"/>
          <w:szCs w:val="21"/>
          <w:highlight w:val="none"/>
        </w:rPr>
        <w:t>2.5计划工期：</w:t>
      </w:r>
      <w:r>
        <w:rPr>
          <w:rFonts w:hint="eastAsia" w:ascii="Times New Roman" w:hAnsi="Times New Roman" w:eastAsia="宋体" w:cs="Times New Roman"/>
          <w:color w:val="auto"/>
          <w:szCs w:val="21"/>
          <w:highlight w:val="none"/>
          <w:u w:val="single"/>
          <w:lang w:val="en-US" w:eastAsia="zh-CN"/>
        </w:rPr>
        <w:t>9</w:t>
      </w:r>
      <w:r>
        <w:rPr>
          <w:rFonts w:hint="eastAsia" w:cs="Times New Roman"/>
          <w:color w:val="auto"/>
          <w:szCs w:val="21"/>
          <w:highlight w:val="none"/>
          <w:u w:val="single"/>
          <w:lang w:val="en-US" w:eastAsia="zh-CN"/>
        </w:rPr>
        <w:t>7</w:t>
      </w:r>
      <w:r>
        <w:rPr>
          <w:rFonts w:hint="eastAsia" w:ascii="Times New Roman" w:hAnsi="Times New Roman" w:eastAsia="宋体" w:cs="Times New Roman"/>
          <w:color w:val="auto"/>
          <w:szCs w:val="21"/>
          <w:highlight w:val="none"/>
          <w:u w:val="single"/>
        </w:rPr>
        <w:t>日历天；</w:t>
      </w:r>
    </w:p>
    <w:bookmarkEnd w:id="32"/>
    <w:p>
      <w:pPr>
        <w:spacing w:line="360" w:lineRule="auto"/>
        <w:ind w:firstLine="1841" w:firstLineChars="877"/>
        <w:rPr>
          <w:color w:val="auto"/>
          <w:szCs w:val="21"/>
          <w:highlight w:val="none"/>
        </w:rPr>
      </w:pPr>
      <w:r>
        <w:rPr>
          <w:color w:val="auto"/>
          <w:szCs w:val="21"/>
          <w:highlight w:val="none"/>
        </w:rPr>
        <w:t>计划开工日期：</w:t>
      </w:r>
      <w:r>
        <w:rPr>
          <w:rFonts w:hint="eastAsia"/>
          <w:color w:val="auto"/>
          <w:szCs w:val="21"/>
          <w:highlight w:val="none"/>
          <w:u w:val="single"/>
        </w:rPr>
        <w:t>202</w:t>
      </w:r>
      <w:r>
        <w:rPr>
          <w:rFonts w:hint="eastAsia"/>
          <w:color w:val="auto"/>
          <w:szCs w:val="21"/>
          <w:highlight w:val="none"/>
          <w:u w:val="single"/>
          <w:lang w:val="en-US" w:eastAsia="zh-CN"/>
        </w:rPr>
        <w:t>4</w:t>
      </w:r>
      <w:r>
        <w:rPr>
          <w:color w:val="auto"/>
          <w:szCs w:val="21"/>
          <w:highlight w:val="none"/>
        </w:rPr>
        <w:t>年</w:t>
      </w:r>
      <w:r>
        <w:rPr>
          <w:rFonts w:hint="eastAsia"/>
          <w:color w:val="auto"/>
          <w:szCs w:val="21"/>
          <w:highlight w:val="none"/>
          <w:u w:val="single"/>
          <w:lang w:val="en-US" w:eastAsia="zh-CN"/>
        </w:rPr>
        <w:t>7</w:t>
      </w:r>
      <w:r>
        <w:rPr>
          <w:color w:val="auto"/>
          <w:szCs w:val="21"/>
          <w:highlight w:val="none"/>
        </w:rPr>
        <w:t>月</w:t>
      </w:r>
      <w:r>
        <w:rPr>
          <w:rFonts w:hint="eastAsia"/>
          <w:color w:val="auto"/>
          <w:szCs w:val="21"/>
          <w:highlight w:val="none"/>
          <w:u w:val="single"/>
          <w:lang w:val="en-US" w:eastAsia="zh-CN"/>
        </w:rPr>
        <w:t>25</w:t>
      </w:r>
      <w:r>
        <w:rPr>
          <w:color w:val="auto"/>
          <w:szCs w:val="21"/>
          <w:highlight w:val="none"/>
        </w:rPr>
        <w:t>日</w:t>
      </w:r>
      <w:r>
        <w:rPr>
          <w:rFonts w:hint="eastAsia"/>
          <w:color w:val="auto"/>
          <w:szCs w:val="21"/>
          <w:highlight w:val="none"/>
        </w:rPr>
        <w:t>；</w:t>
      </w:r>
    </w:p>
    <w:p>
      <w:pPr>
        <w:spacing w:line="360" w:lineRule="auto"/>
        <w:ind w:firstLine="1841" w:firstLineChars="877"/>
        <w:rPr>
          <w:color w:val="auto"/>
          <w:szCs w:val="21"/>
          <w:highlight w:val="none"/>
        </w:rPr>
      </w:pPr>
      <w:r>
        <w:rPr>
          <w:color w:val="auto"/>
          <w:szCs w:val="21"/>
          <w:highlight w:val="none"/>
        </w:rPr>
        <w:t>计划</w:t>
      </w:r>
      <w:r>
        <w:rPr>
          <w:rFonts w:hint="eastAsia"/>
          <w:color w:val="auto"/>
          <w:szCs w:val="21"/>
          <w:highlight w:val="none"/>
        </w:rPr>
        <w:t>竣工</w:t>
      </w:r>
      <w:r>
        <w:rPr>
          <w:color w:val="auto"/>
          <w:szCs w:val="21"/>
          <w:highlight w:val="none"/>
        </w:rPr>
        <w:t>日期：</w:t>
      </w:r>
      <w:r>
        <w:rPr>
          <w:rFonts w:hint="eastAsia"/>
          <w:color w:val="auto"/>
          <w:szCs w:val="21"/>
          <w:highlight w:val="none"/>
          <w:u w:val="single"/>
        </w:rPr>
        <w:t>2024</w:t>
      </w:r>
      <w:r>
        <w:rPr>
          <w:color w:val="auto"/>
          <w:szCs w:val="21"/>
          <w:highlight w:val="none"/>
        </w:rPr>
        <w:t>年</w:t>
      </w:r>
      <w:r>
        <w:rPr>
          <w:rFonts w:hint="eastAsia"/>
          <w:color w:val="auto"/>
          <w:szCs w:val="21"/>
          <w:highlight w:val="none"/>
          <w:u w:val="single"/>
          <w:lang w:val="en-US" w:eastAsia="zh-CN"/>
        </w:rPr>
        <w:t>10</w:t>
      </w:r>
      <w:r>
        <w:rPr>
          <w:color w:val="auto"/>
          <w:szCs w:val="21"/>
          <w:highlight w:val="none"/>
        </w:rPr>
        <w:t>月</w:t>
      </w:r>
      <w:r>
        <w:rPr>
          <w:rFonts w:hint="eastAsia"/>
          <w:color w:val="auto"/>
          <w:szCs w:val="21"/>
          <w:highlight w:val="none"/>
          <w:u w:val="single"/>
          <w:lang w:val="en-US" w:eastAsia="zh-CN"/>
        </w:rPr>
        <w:t>30</w:t>
      </w:r>
      <w:r>
        <w:rPr>
          <w:color w:val="auto"/>
          <w:szCs w:val="21"/>
          <w:highlight w:val="none"/>
        </w:rPr>
        <w:t>日</w:t>
      </w:r>
      <w:r>
        <w:rPr>
          <w:rFonts w:hint="eastAsia"/>
          <w:color w:val="auto"/>
          <w:szCs w:val="21"/>
          <w:highlight w:val="none"/>
        </w:rPr>
        <w:t>。</w:t>
      </w:r>
    </w:p>
    <w:p>
      <w:pPr>
        <w:spacing w:line="360" w:lineRule="auto"/>
        <w:rPr>
          <w:rFonts w:hint="eastAsia"/>
          <w:color w:val="auto"/>
          <w:szCs w:val="21"/>
          <w:highlight w:val="none"/>
        </w:rPr>
      </w:pPr>
      <w:r>
        <w:rPr>
          <w:rFonts w:hint="eastAsia"/>
          <w:color w:val="auto"/>
          <w:szCs w:val="21"/>
          <w:highlight w:val="none"/>
        </w:rPr>
        <w:t xml:space="preserve"> </w:t>
      </w:r>
      <w:r>
        <w:rPr>
          <w:color w:val="auto"/>
          <w:szCs w:val="21"/>
          <w:highlight w:val="none"/>
        </w:rPr>
        <w:t xml:space="preserve">   </w:t>
      </w:r>
    </w:p>
    <w:p>
      <w:pPr>
        <w:pStyle w:val="7"/>
        <w:numPr>
          <w:ilvl w:val="0"/>
          <w:numId w:val="0"/>
        </w:numPr>
        <w:spacing w:before="0" w:line="240" w:lineRule="auto"/>
        <w:rPr>
          <w:rFonts w:hint="eastAsia" w:ascii="Times New Roman" w:hAnsi="Times New Roman" w:eastAsia="黑体" w:cs="Times New Roman"/>
          <w:b w:val="0"/>
          <w:bCs w:val="0"/>
          <w:color w:val="auto"/>
          <w:kern w:val="2"/>
          <w:sz w:val="24"/>
          <w:szCs w:val="24"/>
          <w:highlight w:val="none"/>
          <w:lang w:val="en-US" w:eastAsia="zh-CN" w:bidi="ar-SA"/>
        </w:rPr>
      </w:pPr>
      <w:bookmarkStart w:id="14" w:name="_Toc29187"/>
      <w:bookmarkStart w:id="15" w:name="_Toc4738"/>
      <w:r>
        <w:rPr>
          <w:rFonts w:hint="eastAsia" w:ascii="Times New Roman" w:hAnsi="Times New Roman" w:eastAsia="黑体" w:cs="Times New Roman"/>
          <w:b w:val="0"/>
          <w:bCs w:val="0"/>
          <w:color w:val="auto"/>
          <w:kern w:val="2"/>
          <w:sz w:val="24"/>
          <w:szCs w:val="24"/>
          <w:highlight w:val="none"/>
          <w:lang w:val="en-US" w:eastAsia="zh-CN" w:bidi="ar-SA"/>
        </w:rPr>
        <w:t>3. 投标人资格要求</w:t>
      </w:r>
      <w:bookmarkEnd w:id="10"/>
      <w:bookmarkEnd w:id="11"/>
      <w:bookmarkEnd w:id="12"/>
      <w:bookmarkEnd w:id="14"/>
      <w:bookmarkEnd w:id="15"/>
      <w:r>
        <w:rPr>
          <w:rFonts w:hint="eastAsia" w:ascii="Times New Roman" w:hAnsi="Times New Roman" w:eastAsia="黑体" w:cs="Times New Roman"/>
          <w:b w:val="0"/>
          <w:bCs w:val="0"/>
          <w:color w:val="auto"/>
          <w:kern w:val="2"/>
          <w:sz w:val="24"/>
          <w:szCs w:val="24"/>
          <w:highlight w:val="none"/>
          <w:lang w:val="en-US" w:eastAsia="zh-CN" w:bidi="ar-SA"/>
        </w:rPr>
        <w:t xml:space="preserve"> </w:t>
      </w:r>
    </w:p>
    <w:bookmarkEnd w:id="13"/>
    <w:p>
      <w:pPr>
        <w:spacing w:line="360" w:lineRule="auto"/>
        <w:ind w:firstLine="424" w:firstLineChars="202"/>
        <w:rPr>
          <w:color w:val="auto"/>
          <w:szCs w:val="21"/>
          <w:highlight w:val="none"/>
        </w:rPr>
      </w:pPr>
      <w:r>
        <w:rPr>
          <w:color w:val="auto"/>
          <w:szCs w:val="21"/>
          <w:highlight w:val="none"/>
        </w:rPr>
        <w:t>3.1 本次招标投标人须具备</w:t>
      </w:r>
      <w:r>
        <w:rPr>
          <w:rFonts w:hint="eastAsia"/>
          <w:color w:val="auto"/>
          <w:szCs w:val="21"/>
          <w:highlight w:val="none"/>
        </w:rPr>
        <w:t>下列</w:t>
      </w:r>
      <w:r>
        <w:rPr>
          <w:color w:val="auto"/>
          <w:szCs w:val="21"/>
          <w:highlight w:val="none"/>
        </w:rPr>
        <w:t>资</w:t>
      </w:r>
      <w:r>
        <w:rPr>
          <w:rFonts w:hint="eastAsia"/>
          <w:color w:val="auto"/>
          <w:szCs w:val="21"/>
          <w:highlight w:val="none"/>
        </w:rPr>
        <w:t>格条件：</w:t>
      </w:r>
    </w:p>
    <w:p>
      <w:pPr>
        <w:spacing w:line="360" w:lineRule="auto"/>
        <w:ind w:firstLine="424" w:firstLineChars="202"/>
        <w:rPr>
          <w:rFonts w:hint="eastAsia" w:ascii="Calibri" w:hAnsi="Calibri" w:cs="Calibri"/>
          <w:color w:val="auto"/>
          <w:szCs w:val="21"/>
          <w:highlight w:val="none"/>
        </w:rPr>
      </w:pPr>
      <w:r>
        <w:rPr>
          <w:rFonts w:hint="eastAsia"/>
          <w:color w:val="auto"/>
          <w:szCs w:val="21"/>
          <w:highlight w:val="none"/>
        </w:rPr>
        <w:t>3.1.1资质条件：</w:t>
      </w:r>
      <w:r>
        <w:rPr>
          <w:rFonts w:hint="eastAsia" w:ascii="Calibri" w:hAnsi="Calibri" w:cs="Calibri"/>
          <w:color w:val="auto"/>
          <w:szCs w:val="21"/>
          <w:highlight w:val="none"/>
        </w:rPr>
        <w:t>投标人必须经国家工商</w:t>
      </w:r>
      <w:r>
        <w:rPr>
          <w:rFonts w:ascii="Calibri" w:hAnsi="Calibri" w:cs="Calibri"/>
          <w:color w:val="auto"/>
          <w:szCs w:val="21"/>
          <w:highlight w:val="none"/>
        </w:rPr>
        <w:t>行政</w:t>
      </w:r>
      <w:r>
        <w:rPr>
          <w:rFonts w:hint="eastAsia" w:ascii="Calibri" w:hAnsi="Calibri" w:cs="Calibri"/>
          <w:color w:val="auto"/>
          <w:szCs w:val="21"/>
          <w:highlight w:val="none"/>
        </w:rPr>
        <w:t>管理</w:t>
      </w:r>
      <w:r>
        <w:rPr>
          <w:rFonts w:ascii="Calibri" w:hAnsi="Calibri" w:cs="Calibri"/>
          <w:color w:val="auto"/>
          <w:szCs w:val="21"/>
          <w:highlight w:val="none"/>
        </w:rPr>
        <w:t>部门</w:t>
      </w:r>
      <w:r>
        <w:rPr>
          <w:rFonts w:hint="eastAsia" w:ascii="Calibri" w:hAnsi="Calibri" w:cs="Calibri"/>
          <w:color w:val="auto"/>
          <w:szCs w:val="21"/>
          <w:highlight w:val="none"/>
        </w:rPr>
        <w:t>登记注册，具有独立法人资格；</w:t>
      </w:r>
      <w:r>
        <w:rPr>
          <w:rFonts w:hint="eastAsia" w:ascii="Calibri" w:hAnsi="Calibri" w:cs="Calibri"/>
          <w:color w:val="auto"/>
          <w:szCs w:val="21"/>
          <w:highlight w:val="none"/>
          <w:lang w:val="en-US" w:eastAsia="zh-CN"/>
        </w:rPr>
        <w:t>同时</w:t>
      </w:r>
      <w:r>
        <w:rPr>
          <w:rFonts w:hint="eastAsia" w:ascii="Calibri" w:hAnsi="Calibri" w:cs="Calibri"/>
          <w:color w:val="auto"/>
          <w:szCs w:val="21"/>
          <w:highlight w:val="none"/>
        </w:rPr>
        <w:t>具备</w:t>
      </w:r>
      <w:r>
        <w:rPr>
          <w:rFonts w:hint="eastAsia" w:ascii="Calibri" w:hAnsi="Calibri" w:cs="Calibri"/>
          <w:color w:val="auto"/>
          <w:szCs w:val="21"/>
          <w:highlight w:val="none"/>
          <w:u w:val="single"/>
        </w:rPr>
        <w:t>石油化工工程施工总承包二级</w:t>
      </w:r>
      <w:r>
        <w:rPr>
          <w:rFonts w:hint="eastAsia" w:ascii="宋体" w:hAnsi="宋体" w:cs="宋体"/>
          <w:b/>
          <w:bCs w:val="0"/>
          <w:snapToGrid w:val="0"/>
          <w:color w:val="auto"/>
          <w:highlight w:val="none"/>
          <w:lang w:val="en-US" w:eastAsia="zh-CN"/>
        </w:rPr>
        <w:t>和</w:t>
      </w:r>
      <w:r>
        <w:rPr>
          <w:rFonts w:hint="eastAsia" w:ascii="宋体" w:hAnsi="宋体" w:cs="宋体"/>
          <w:bCs/>
          <w:snapToGrid w:val="0"/>
          <w:color w:val="auto"/>
          <w:highlight w:val="none"/>
          <w:lang w:val="en-US" w:eastAsia="zh-CN"/>
        </w:rPr>
        <w:t>市场监督管理部门颁发的</w:t>
      </w:r>
      <w:r>
        <w:rPr>
          <w:rFonts w:hint="eastAsia" w:ascii="宋体" w:hAnsi="宋体" w:cs="宋体"/>
          <w:bCs/>
          <w:snapToGrid w:val="0"/>
          <w:color w:val="auto"/>
          <w:highlight w:val="none"/>
          <w:u w:val="single"/>
          <w:lang w:val="en-US" w:eastAsia="zh-CN"/>
        </w:rPr>
        <w:t>中华人民共和国特种设备安装改造维修许可证（压力管道GC2)</w:t>
      </w:r>
      <w:r>
        <w:rPr>
          <w:rFonts w:hint="eastAsia" w:ascii="宋体" w:hAnsi="宋体" w:cs="宋体"/>
          <w:b/>
          <w:bCs w:val="0"/>
          <w:snapToGrid w:val="0"/>
          <w:color w:val="auto"/>
          <w:highlight w:val="none"/>
          <w:u w:val="none"/>
          <w:lang w:val="en-US" w:eastAsia="zh-CN"/>
        </w:rPr>
        <w:t>或</w:t>
      </w:r>
      <w:r>
        <w:rPr>
          <w:rFonts w:hint="eastAsia" w:ascii="宋体" w:hAnsi="宋体" w:cs="宋体"/>
          <w:bCs/>
          <w:snapToGrid w:val="0"/>
          <w:color w:val="auto"/>
          <w:highlight w:val="none"/>
          <w:u w:val="single"/>
          <w:lang w:val="en-US" w:eastAsia="zh-CN"/>
        </w:rPr>
        <w:t>中华人民共和国特种设备生产许可证（工业管道安装GC2）</w:t>
      </w:r>
      <w:r>
        <w:rPr>
          <w:rFonts w:hint="eastAsia" w:ascii="宋体" w:hAnsi="宋体" w:cs="宋体"/>
          <w:bCs/>
          <w:snapToGrid w:val="0"/>
          <w:color w:val="auto"/>
          <w:highlight w:val="none"/>
          <w:lang w:val="en-US" w:eastAsia="zh-CN"/>
        </w:rPr>
        <w:t>及</w:t>
      </w:r>
      <w:r>
        <w:rPr>
          <w:rFonts w:hint="eastAsia" w:ascii="宋体" w:hAnsi="宋体" w:cs="宋体"/>
          <w:bCs/>
          <w:snapToGrid w:val="0"/>
          <w:color w:val="auto"/>
          <w:highlight w:val="none"/>
        </w:rPr>
        <w:t>以上</w:t>
      </w:r>
      <w:r>
        <w:rPr>
          <w:rFonts w:hint="eastAsia" w:ascii="Calibri" w:hAnsi="Calibri" w:cs="Calibri"/>
          <w:color w:val="auto"/>
          <w:szCs w:val="21"/>
          <w:highlight w:val="none"/>
        </w:rPr>
        <w:t>资质，并在人员、设备、资金等方面具备相应的工程承包能力。</w:t>
      </w:r>
    </w:p>
    <w:p>
      <w:pPr>
        <w:spacing w:line="360" w:lineRule="auto"/>
        <w:ind w:firstLine="424" w:firstLineChars="202"/>
        <w:rPr>
          <w:rFonts w:hint="eastAsia"/>
          <w:color w:val="auto"/>
          <w:szCs w:val="21"/>
          <w:highlight w:val="none"/>
        </w:rPr>
      </w:pPr>
      <w:r>
        <w:rPr>
          <w:rFonts w:hint="eastAsia"/>
          <w:color w:val="auto"/>
          <w:szCs w:val="21"/>
          <w:highlight w:val="none"/>
        </w:rPr>
        <w:t>3.2</w:t>
      </w:r>
      <w:r>
        <w:rPr>
          <w:rFonts w:hint="eastAsia" w:ascii="Calibri" w:hAnsi="Calibri" w:cs="Calibri"/>
          <w:color w:val="auto"/>
          <w:szCs w:val="21"/>
          <w:highlight w:val="none"/>
        </w:rPr>
        <w:t>投标人拟派工程分包项目经理应当具有一级注册建造师（机电工程专业）同时具备工程建设类中级技术职称，且必须满足下列条件：</w:t>
      </w:r>
    </w:p>
    <w:p>
      <w:pPr>
        <w:spacing w:line="360" w:lineRule="auto"/>
        <w:ind w:firstLine="424" w:firstLineChars="202"/>
        <w:rPr>
          <w:rFonts w:hint="eastAsia"/>
          <w:color w:val="auto"/>
          <w:szCs w:val="21"/>
          <w:highlight w:val="none"/>
        </w:rPr>
      </w:pPr>
      <w:r>
        <w:rPr>
          <w:rFonts w:hint="eastAsia"/>
          <w:color w:val="auto"/>
          <w:szCs w:val="21"/>
          <w:highlight w:val="none"/>
        </w:rPr>
        <w:t>（1）项目经理不得同时在两个或者两个以上单位受聘或者执业。</w:t>
      </w:r>
    </w:p>
    <w:p>
      <w:pPr>
        <w:spacing w:line="360" w:lineRule="auto"/>
        <w:ind w:firstLine="424" w:firstLineChars="202"/>
        <w:rPr>
          <w:color w:val="auto"/>
          <w:szCs w:val="21"/>
          <w:highlight w:val="none"/>
        </w:rPr>
      </w:pPr>
      <w:r>
        <w:rPr>
          <w:rFonts w:hint="eastAsia"/>
          <w:color w:val="auto"/>
          <w:szCs w:val="21"/>
          <w:highlight w:val="none"/>
        </w:rPr>
        <w:t>（2）项目经理不得同时在两个或者两个以上工程项目上任职。</w:t>
      </w:r>
    </w:p>
    <w:p>
      <w:pPr>
        <w:spacing w:line="360" w:lineRule="auto"/>
        <w:ind w:firstLine="424" w:firstLineChars="202"/>
        <w:rPr>
          <w:rFonts w:hint="eastAsia"/>
          <w:color w:val="auto"/>
          <w:szCs w:val="21"/>
          <w:highlight w:val="none"/>
        </w:rPr>
      </w:pPr>
      <w:r>
        <w:rPr>
          <w:rFonts w:hint="eastAsia"/>
          <w:color w:val="auto"/>
          <w:szCs w:val="21"/>
          <w:highlight w:val="none"/>
        </w:rPr>
        <w:t>（3）施工项目经理必须取得安全生产考核合格证（B证）。</w:t>
      </w:r>
    </w:p>
    <w:p>
      <w:pPr>
        <w:spacing w:line="360" w:lineRule="auto"/>
        <w:ind w:firstLine="424" w:firstLineChars="202"/>
        <w:rPr>
          <w:rFonts w:hint="eastAsia"/>
          <w:color w:val="auto"/>
          <w:szCs w:val="21"/>
          <w:highlight w:val="none"/>
        </w:rPr>
      </w:pPr>
      <w:r>
        <w:rPr>
          <w:rFonts w:hint="eastAsia"/>
          <w:color w:val="auto"/>
          <w:szCs w:val="21"/>
          <w:highlight w:val="none"/>
        </w:rPr>
        <w:t>3.3投标人及拟派项目经理应具备业绩要求：</w:t>
      </w:r>
    </w:p>
    <w:p>
      <w:pPr>
        <w:spacing w:line="360" w:lineRule="auto"/>
        <w:ind w:firstLine="424" w:firstLineChars="202"/>
        <w:rPr>
          <w:rFonts w:hint="eastAsia"/>
          <w:color w:val="auto"/>
          <w:szCs w:val="21"/>
          <w:highlight w:val="none"/>
        </w:rPr>
      </w:pPr>
      <w:r>
        <w:rPr>
          <w:rFonts w:hint="eastAsia"/>
          <w:color w:val="auto"/>
          <w:szCs w:val="21"/>
          <w:highlight w:val="none"/>
        </w:rPr>
        <w:t>3.3.1投标人拟派项目经理承担过1项类似工程</w:t>
      </w:r>
      <w:r>
        <w:rPr>
          <w:rFonts w:hint="eastAsia"/>
          <w:color w:val="auto"/>
          <w:szCs w:val="21"/>
          <w:highlight w:val="none"/>
          <w:lang w:val="en-US" w:eastAsia="zh-CN"/>
        </w:rPr>
        <w:t>施工业绩</w:t>
      </w:r>
      <w:r>
        <w:rPr>
          <w:rFonts w:hint="eastAsia"/>
          <w:color w:val="auto"/>
          <w:szCs w:val="21"/>
          <w:highlight w:val="none"/>
          <w:lang w:eastAsia="zh-CN"/>
        </w:rPr>
        <w:t>（</w:t>
      </w:r>
      <w:r>
        <w:rPr>
          <w:rFonts w:hint="eastAsia"/>
          <w:color w:val="auto"/>
          <w:szCs w:val="21"/>
          <w:highlight w:val="none"/>
          <w:lang w:val="en-US" w:eastAsia="zh-CN"/>
        </w:rPr>
        <w:t>化工工程工艺装置安装</w:t>
      </w:r>
      <w:r>
        <w:rPr>
          <w:rFonts w:hint="eastAsia"/>
          <w:color w:val="auto"/>
          <w:szCs w:val="21"/>
          <w:highlight w:val="none"/>
          <w:lang w:eastAsia="zh-CN"/>
        </w:rPr>
        <w:t>）</w:t>
      </w:r>
      <w:r>
        <w:rPr>
          <w:rFonts w:hint="eastAsia"/>
          <w:color w:val="auto"/>
          <w:szCs w:val="21"/>
          <w:highlight w:val="none"/>
        </w:rPr>
        <w:t>。</w:t>
      </w:r>
    </w:p>
    <w:p>
      <w:pPr>
        <w:spacing w:line="360" w:lineRule="auto"/>
        <w:ind w:firstLine="424" w:firstLineChars="202"/>
        <w:rPr>
          <w:color w:val="auto"/>
          <w:szCs w:val="21"/>
          <w:highlight w:val="none"/>
        </w:rPr>
      </w:pPr>
      <w:r>
        <w:rPr>
          <w:rFonts w:hint="eastAsia"/>
          <w:color w:val="auto"/>
          <w:szCs w:val="21"/>
          <w:highlight w:val="none"/>
        </w:rPr>
        <w:t>3.3.2投标人承担过类似工程：</w:t>
      </w:r>
      <w:r>
        <w:rPr>
          <w:rFonts w:hint="eastAsia"/>
          <w:color w:val="auto"/>
          <w:szCs w:val="21"/>
          <w:highlight w:val="none"/>
          <w:lang w:val="en-US" w:eastAsia="zh-CN"/>
        </w:rPr>
        <w:t>2019年6月1日以来</w:t>
      </w:r>
      <w:r>
        <w:rPr>
          <w:rFonts w:hint="eastAsia"/>
          <w:color w:val="auto"/>
          <w:szCs w:val="21"/>
          <w:highlight w:val="none"/>
        </w:rPr>
        <w:t>具有1项</w:t>
      </w:r>
      <w:r>
        <w:rPr>
          <w:rFonts w:hint="eastAsia"/>
          <w:color w:val="auto"/>
          <w:szCs w:val="21"/>
          <w:highlight w:val="none"/>
          <w:lang w:val="en-US" w:eastAsia="zh-CN"/>
        </w:rPr>
        <w:t>类似工程</w:t>
      </w:r>
      <w:r>
        <w:rPr>
          <w:rFonts w:hint="eastAsia"/>
          <w:color w:val="auto"/>
          <w:szCs w:val="21"/>
          <w:highlight w:val="none"/>
        </w:rPr>
        <w:t>施工业绩</w:t>
      </w:r>
      <w:r>
        <w:rPr>
          <w:rFonts w:hint="eastAsia"/>
          <w:color w:val="auto"/>
          <w:szCs w:val="21"/>
          <w:highlight w:val="none"/>
          <w:lang w:eastAsia="zh-CN"/>
        </w:rPr>
        <w:t>（</w:t>
      </w:r>
      <w:r>
        <w:rPr>
          <w:rFonts w:hint="eastAsia"/>
          <w:color w:val="auto"/>
          <w:szCs w:val="21"/>
          <w:highlight w:val="none"/>
          <w:lang w:val="en-US" w:eastAsia="zh-CN"/>
        </w:rPr>
        <w:t>化工工程工艺装置安装</w:t>
      </w:r>
      <w:r>
        <w:rPr>
          <w:rFonts w:hint="eastAsia"/>
          <w:color w:val="auto"/>
          <w:szCs w:val="21"/>
          <w:highlight w:val="none"/>
          <w:lang w:eastAsia="zh-CN"/>
        </w:rPr>
        <w:t>）（</w:t>
      </w:r>
      <w:r>
        <w:rPr>
          <w:rFonts w:hint="eastAsia"/>
          <w:color w:val="auto"/>
          <w:szCs w:val="21"/>
          <w:highlight w:val="none"/>
        </w:rPr>
        <w:t>具体以工程验收或接收证书载明的竣工时间为准）。</w:t>
      </w:r>
    </w:p>
    <w:p>
      <w:pPr>
        <w:spacing w:line="360" w:lineRule="auto"/>
        <w:ind w:firstLine="424" w:firstLineChars="202"/>
        <w:rPr>
          <w:rFonts w:hint="eastAsia"/>
          <w:color w:val="auto"/>
          <w:szCs w:val="21"/>
          <w:highlight w:val="none"/>
        </w:rPr>
      </w:pPr>
      <w:r>
        <w:rPr>
          <w:rFonts w:hint="eastAsia"/>
          <w:color w:val="auto"/>
          <w:szCs w:val="21"/>
          <w:highlight w:val="none"/>
        </w:rPr>
        <w:t>3.3.3安全生产负责人的资格要求：项目安全生产负责人须具有建设行政主管部门颁发的安全生产考核合格证书土建/机械/综合类（C证）。</w:t>
      </w:r>
    </w:p>
    <w:p>
      <w:pPr>
        <w:spacing w:line="360" w:lineRule="auto"/>
        <w:ind w:firstLine="424" w:firstLineChars="202"/>
        <w:rPr>
          <w:rFonts w:hint="default" w:eastAsia="宋体"/>
          <w:color w:val="auto"/>
          <w:szCs w:val="21"/>
          <w:highlight w:val="none"/>
          <w:lang w:val="en-US" w:eastAsia="zh-CN"/>
        </w:rPr>
      </w:pPr>
      <w:r>
        <w:rPr>
          <w:rFonts w:hint="eastAsia"/>
          <w:color w:val="auto"/>
          <w:szCs w:val="21"/>
          <w:highlight w:val="none"/>
        </w:rPr>
        <w:t>3.3.</w:t>
      </w:r>
      <w:r>
        <w:rPr>
          <w:rFonts w:hint="eastAsia"/>
          <w:color w:val="auto"/>
          <w:szCs w:val="21"/>
          <w:highlight w:val="none"/>
          <w:lang w:val="en-US" w:eastAsia="zh-CN"/>
        </w:rPr>
        <w:t>4技术负责人的资格要求：具备中级以上技术职称。</w:t>
      </w:r>
    </w:p>
    <w:p>
      <w:pPr>
        <w:spacing w:line="360" w:lineRule="auto"/>
        <w:ind w:firstLine="424" w:firstLineChars="202"/>
        <w:rPr>
          <w:rFonts w:hint="eastAsia"/>
          <w:color w:val="auto"/>
          <w:szCs w:val="21"/>
          <w:highlight w:val="none"/>
        </w:rPr>
      </w:pPr>
      <w:r>
        <w:rPr>
          <w:rFonts w:hint="eastAsia"/>
          <w:color w:val="auto"/>
          <w:szCs w:val="21"/>
          <w:highlight w:val="none"/>
        </w:rPr>
        <w:t>项目管理机构及人员：应根据项目实际情况配备管理人员，至少应包括：施工员、劳务员、安全员、</w:t>
      </w:r>
      <w:r>
        <w:rPr>
          <w:rFonts w:hint="eastAsia"/>
          <w:color w:val="auto"/>
          <w:szCs w:val="21"/>
          <w:highlight w:val="none"/>
          <w:lang w:val="en-US" w:eastAsia="zh-CN"/>
        </w:rPr>
        <w:t>质检员</w:t>
      </w:r>
      <w:r>
        <w:rPr>
          <w:rFonts w:hint="eastAsia"/>
          <w:color w:val="auto"/>
          <w:szCs w:val="21"/>
          <w:highlight w:val="none"/>
        </w:rPr>
        <w:t>、资料员等。</w:t>
      </w:r>
    </w:p>
    <w:p>
      <w:pPr>
        <w:spacing w:line="360" w:lineRule="auto"/>
        <w:ind w:firstLine="424" w:firstLineChars="202"/>
        <w:rPr>
          <w:rFonts w:hint="eastAsia"/>
          <w:color w:val="auto"/>
          <w:szCs w:val="21"/>
          <w:highlight w:val="none"/>
        </w:rPr>
      </w:pPr>
      <w:r>
        <w:rPr>
          <w:rFonts w:hint="eastAsia"/>
          <w:color w:val="auto"/>
          <w:szCs w:val="21"/>
          <w:highlight w:val="none"/>
        </w:rPr>
        <w:t>3.4其他：</w:t>
      </w:r>
    </w:p>
    <w:p>
      <w:pPr>
        <w:spacing w:line="360" w:lineRule="auto"/>
        <w:ind w:firstLine="424" w:firstLineChars="202"/>
        <w:rPr>
          <w:rFonts w:hint="eastAsia"/>
          <w:color w:val="auto"/>
          <w:szCs w:val="21"/>
          <w:highlight w:val="none"/>
        </w:rPr>
      </w:pPr>
      <w:r>
        <w:rPr>
          <w:rFonts w:hint="eastAsia"/>
          <w:color w:val="auto"/>
          <w:szCs w:val="21"/>
          <w:highlight w:val="none"/>
        </w:rPr>
        <w:t>3.4.1财务要求：具备健全的财务会计制度，财务状况良好，提供近3年经审计的财务报表。</w:t>
      </w:r>
    </w:p>
    <w:p>
      <w:pPr>
        <w:spacing w:line="360" w:lineRule="auto"/>
        <w:ind w:firstLine="424" w:firstLineChars="202"/>
        <w:rPr>
          <w:rFonts w:hint="eastAsia"/>
          <w:color w:val="auto"/>
          <w:szCs w:val="21"/>
          <w:highlight w:val="none"/>
        </w:rPr>
      </w:pPr>
      <w:r>
        <w:rPr>
          <w:rFonts w:hint="eastAsia"/>
          <w:color w:val="auto"/>
          <w:szCs w:val="21"/>
          <w:highlight w:val="none"/>
        </w:rPr>
        <w:t>3.4.2信誉要求：近3年没有与骗取合同有关的犯罪或严重违法行为而引起的诉讼和仲裁；申请人在最近年内不曾在任何合同中违约或被逐或因任何原因而使任何合同被解除。被列入“信用中国”中公布的失信被执行人和被列入全国法院的失信被执行人（进入http：//zxgk.court.gov.cn自行查询后将查询结果截图加盖企业公章为准）的失信企业取消其投标资格。各投标人进入“信用中国”查询本企业无不良行为记录，将查询截图加盖企业公章装订在投标文件中。</w:t>
      </w:r>
    </w:p>
    <w:p>
      <w:pPr>
        <w:spacing w:line="360" w:lineRule="auto"/>
        <w:ind w:firstLine="424" w:firstLineChars="202"/>
        <w:rPr>
          <w:rFonts w:hint="eastAsia"/>
          <w:color w:val="auto"/>
          <w:szCs w:val="21"/>
          <w:highlight w:val="none"/>
        </w:rPr>
      </w:pPr>
      <w:r>
        <w:rPr>
          <w:rFonts w:hint="eastAsia"/>
          <w:color w:val="auto"/>
          <w:szCs w:val="21"/>
          <w:highlight w:val="none"/>
        </w:rPr>
        <w:t xml:space="preserve">3.5本次招标 </w:t>
      </w:r>
      <w:r>
        <w:rPr>
          <w:rFonts w:hint="eastAsia"/>
          <w:b/>
          <w:color w:val="auto"/>
          <w:szCs w:val="21"/>
          <w:highlight w:val="none"/>
          <w:u w:val="single"/>
        </w:rPr>
        <w:t>不接受</w:t>
      </w:r>
      <w:r>
        <w:rPr>
          <w:rFonts w:hint="eastAsia"/>
          <w:b/>
          <w:color w:val="auto"/>
          <w:szCs w:val="21"/>
          <w:highlight w:val="none"/>
        </w:rPr>
        <w:t xml:space="preserve"> </w:t>
      </w:r>
      <w:r>
        <w:rPr>
          <w:rFonts w:hint="eastAsia"/>
          <w:color w:val="auto"/>
          <w:szCs w:val="21"/>
          <w:highlight w:val="none"/>
        </w:rPr>
        <w:t>联合体投标。</w:t>
      </w:r>
    </w:p>
    <w:p>
      <w:pPr>
        <w:spacing w:line="360" w:lineRule="auto"/>
        <w:ind w:firstLine="424" w:firstLineChars="202"/>
        <w:rPr>
          <w:rFonts w:ascii="Calibri" w:hAnsi="Calibri" w:cs="Calibri"/>
          <w:color w:val="auto"/>
          <w:szCs w:val="21"/>
          <w:highlight w:val="none"/>
        </w:rPr>
      </w:pPr>
      <w:r>
        <w:rPr>
          <w:rFonts w:hint="eastAsia" w:ascii="Calibri" w:hAnsi="Calibri" w:cs="Calibri"/>
          <w:color w:val="auto"/>
          <w:szCs w:val="21"/>
          <w:highlight w:val="none"/>
        </w:rPr>
        <w:t>1. 联合体投标，报名、投标保证金的费用缴纳由牵头人办理；</w:t>
      </w:r>
    </w:p>
    <w:p>
      <w:pPr>
        <w:spacing w:line="360" w:lineRule="auto"/>
        <w:ind w:firstLine="424" w:firstLineChars="202"/>
        <w:rPr>
          <w:rFonts w:ascii="Calibri" w:hAnsi="Calibri" w:cs="Calibri"/>
          <w:color w:val="auto"/>
          <w:szCs w:val="21"/>
          <w:highlight w:val="none"/>
        </w:rPr>
      </w:pPr>
      <w:r>
        <w:rPr>
          <w:rFonts w:hint="eastAsia" w:ascii="Calibri" w:hAnsi="Calibri" w:cs="Calibri"/>
          <w:color w:val="auto"/>
          <w:szCs w:val="21"/>
          <w:highlight w:val="none"/>
        </w:rPr>
        <w:t>2. 联合体各方应签订联合体协议书，明确联合体牵头人和各方权利义务；</w:t>
      </w:r>
    </w:p>
    <w:p>
      <w:pPr>
        <w:spacing w:line="360" w:lineRule="auto"/>
        <w:ind w:firstLine="424" w:firstLineChars="202"/>
        <w:rPr>
          <w:rFonts w:hint="eastAsia" w:ascii="Calibri" w:hAnsi="Calibri" w:cs="Calibri"/>
          <w:color w:val="auto"/>
          <w:szCs w:val="21"/>
          <w:highlight w:val="none"/>
        </w:rPr>
      </w:pPr>
      <w:r>
        <w:rPr>
          <w:rFonts w:hint="eastAsia" w:ascii="Calibri" w:hAnsi="Calibri" w:cs="Calibri"/>
          <w:color w:val="auto"/>
          <w:szCs w:val="21"/>
          <w:highlight w:val="none"/>
        </w:rPr>
        <w:t>3. 以联合体形式参加的，联合体各方不得再单独参加或者与其他单位另外组成联合体参加本标段投标活动。</w:t>
      </w:r>
    </w:p>
    <w:p>
      <w:pPr>
        <w:pStyle w:val="7"/>
        <w:numPr>
          <w:ilvl w:val="0"/>
          <w:numId w:val="0"/>
        </w:numPr>
        <w:spacing w:before="0" w:line="240" w:lineRule="auto"/>
        <w:rPr>
          <w:rFonts w:hint="eastAsia" w:ascii="Times New Roman" w:hAnsi="Times New Roman" w:eastAsia="黑体" w:cs="Times New Roman"/>
          <w:b w:val="0"/>
          <w:bCs w:val="0"/>
          <w:color w:val="auto"/>
          <w:kern w:val="2"/>
          <w:sz w:val="24"/>
          <w:szCs w:val="24"/>
          <w:highlight w:val="none"/>
          <w:lang w:val="en-US" w:eastAsia="zh-CN" w:bidi="ar-SA"/>
        </w:rPr>
      </w:pPr>
      <w:bookmarkStart w:id="16" w:name="_Toc24614"/>
      <w:r>
        <w:rPr>
          <w:rFonts w:hint="eastAsia" w:ascii="Times New Roman" w:hAnsi="Times New Roman" w:eastAsia="黑体" w:cs="Times New Roman"/>
          <w:b w:val="0"/>
          <w:bCs w:val="0"/>
          <w:color w:val="auto"/>
          <w:kern w:val="2"/>
          <w:sz w:val="24"/>
          <w:szCs w:val="24"/>
          <w:highlight w:val="none"/>
          <w:lang w:val="en-US" w:eastAsia="zh-CN" w:bidi="ar-SA"/>
        </w:rPr>
        <w:t>4. 招标文件的获取</w:t>
      </w:r>
      <w:bookmarkEnd w:id="16"/>
      <w:bookmarkStart w:id="17" w:name="_Toc247527539"/>
      <w:bookmarkStart w:id="18" w:name="_Toc10538"/>
      <w:bookmarkStart w:id="19" w:name="_Toc247513938"/>
      <w:bookmarkStart w:id="20" w:name="_Toc62807275"/>
    </w:p>
    <w:p>
      <w:pPr>
        <w:spacing w:line="360" w:lineRule="auto"/>
        <w:ind w:firstLine="420" w:firstLineChars="200"/>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投标人于2024年6月26日00:00分至2024年6月30日23:59分在金昌市公共资源交易网（http://ggzy.jcs.gov.cn）在线投标登记并免费获取招标文件。</w:t>
      </w:r>
    </w:p>
    <w:p>
      <w:pPr>
        <w:numPr>
          <w:ilvl w:val="0"/>
          <w:numId w:val="1"/>
        </w:numPr>
        <w:spacing w:line="360" w:lineRule="auto"/>
        <w:ind w:firstLine="420" w:firstLineChars="200"/>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拟参与金昌市公共资源交易活动的潜在投标人（供应商）需先在金昌市公共资源交易中心网站免费注册，获取“用户名+密码+验证码”，以软认证方式登录；也可以用数字证书（CA)方式登录。这两种方式可进行我要投标等后续工作（具体内容详见招标文件）。社会公众可通过金昌市公共资源交易中心网查阅招标文件。（网址：金昌市公共资源交易中心网http://ggzy.jcs.gov.cn）。</w:t>
      </w:r>
    </w:p>
    <w:p>
      <w:pPr>
        <w:numPr>
          <w:ilvl w:val="0"/>
          <w:numId w:val="0"/>
        </w:numPr>
        <w:spacing w:line="360" w:lineRule="auto"/>
        <w:ind w:firstLine="420" w:firstLineChars="200"/>
        <w:rPr>
          <w:rFonts w:hint="eastAsia" w:ascii="Times New Roman" w:hAnsi="Times New Roman" w:eastAsia="黑体" w:cs="Times New Roman"/>
          <w:b/>
          <w:bCs/>
          <w:color w:val="auto"/>
          <w:kern w:val="2"/>
          <w:sz w:val="32"/>
          <w:szCs w:val="3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2、信息注册、投标注意事项：为了规范交易平台的业务流程以及给用户提供方便快捷的服务，凡是拟参与金昌市公共资源交易活动的招标人、招标代理机构、投标人需先在金昌市公共资源交易网上注册，使用 “用户名+密码+验证码”或CA数字认证方式登录办理业务。社会公众可通过金昌市公共资源交易中心网浏览公告，并点击“免费下载招标文件”，根据系统提示，保存电子标书文件至本地电脑；投标人浏览招标文件后，确定投标的需登录金昌市公共资源交易电子服务系统2.0，在系统首页最新招标项目中查询需要投标的项目或在“招标方案”-“标段（包）”中查询需要投标的标段，选中后点击“投标登记”，根据要求填写信息。并依据系统生成的投标“保证金打款账号”交纳投标保证金；投标人可登陆金昌市公共资源交易电子服务系统2.0，在系统右上角点击“保证金查询”按钮查询保证金信息或在金昌市公共资源交易中心网站“保证金查询”栏目查询。</w:t>
      </w:r>
      <w:bookmarkEnd w:id="17"/>
      <w:bookmarkEnd w:id="18"/>
      <w:bookmarkEnd w:id="19"/>
      <w:bookmarkEnd w:id="20"/>
      <w:bookmarkStart w:id="21" w:name="_Toc62807276"/>
      <w:bookmarkStart w:id="22" w:name="_Toc32020"/>
    </w:p>
    <w:bookmarkEnd w:id="21"/>
    <w:bookmarkEnd w:id="22"/>
    <w:p>
      <w:pPr>
        <w:pStyle w:val="7"/>
        <w:numPr>
          <w:ilvl w:val="0"/>
          <w:numId w:val="0"/>
        </w:numPr>
        <w:spacing w:before="0" w:line="240" w:lineRule="auto"/>
        <w:rPr>
          <w:rFonts w:hint="eastAsia" w:ascii="Times New Roman" w:hAnsi="Times New Roman" w:eastAsia="黑体" w:cs="Times New Roman"/>
          <w:b w:val="0"/>
          <w:bCs w:val="0"/>
          <w:color w:val="auto"/>
          <w:kern w:val="2"/>
          <w:sz w:val="24"/>
          <w:szCs w:val="24"/>
          <w:highlight w:val="none"/>
          <w:lang w:val="en-US" w:eastAsia="zh-CN" w:bidi="ar-SA"/>
        </w:rPr>
      </w:pPr>
      <w:bookmarkStart w:id="23" w:name="_Toc27775"/>
      <w:r>
        <w:rPr>
          <w:rFonts w:hint="eastAsia" w:ascii="Times New Roman" w:hAnsi="Times New Roman" w:eastAsia="黑体" w:cs="Times New Roman"/>
          <w:b w:val="0"/>
          <w:bCs w:val="0"/>
          <w:color w:val="auto"/>
          <w:kern w:val="2"/>
          <w:sz w:val="24"/>
          <w:szCs w:val="24"/>
          <w:highlight w:val="none"/>
          <w:lang w:val="en-US" w:eastAsia="zh-CN" w:bidi="ar-SA"/>
        </w:rPr>
        <w:t>5. 不见面开标</w:t>
      </w:r>
      <w:bookmarkEnd w:id="23"/>
      <w:bookmarkStart w:id="24" w:name="_Toc62807277"/>
      <w:bookmarkStart w:id="25" w:name="_Toc30898"/>
    </w:p>
    <w:p>
      <w:pPr>
        <w:numPr>
          <w:ilvl w:val="0"/>
          <w:numId w:val="0"/>
        </w:numPr>
        <w:spacing w:line="360" w:lineRule="auto"/>
        <w:ind w:firstLine="420" w:firstLineChars="200"/>
        <w:rPr>
          <w:rFonts w:hint="eastAsia" w:ascii="Calibri" w:hAnsi="Calibri" w:eastAsia="宋体" w:cs="Calibri"/>
          <w:b w:val="0"/>
          <w:bCs w:val="0"/>
          <w:color w:val="auto"/>
          <w:kern w:val="2"/>
          <w:sz w:val="21"/>
          <w:szCs w:val="21"/>
          <w:highlight w:val="none"/>
          <w:lang w:val="en-US" w:eastAsia="zh-CN" w:bidi="ar-SA"/>
        </w:rPr>
      </w:pPr>
      <w:r>
        <w:rPr>
          <w:rFonts w:hint="eastAsia" w:ascii="Calibri" w:hAnsi="Calibri" w:eastAsia="宋体" w:cs="Calibri"/>
          <w:b w:val="0"/>
          <w:bCs w:val="0"/>
          <w:color w:val="auto"/>
          <w:kern w:val="2"/>
          <w:sz w:val="21"/>
          <w:szCs w:val="21"/>
          <w:highlight w:val="none"/>
          <w:lang w:val="en-US" w:eastAsia="zh-CN" w:bidi="ar-SA"/>
        </w:rPr>
        <w:t>本项目采用“交易通网上不见面开标系统”进行开标，现将有关事项公告如下：</w:t>
      </w:r>
    </w:p>
    <w:p>
      <w:pPr>
        <w:numPr>
          <w:ilvl w:val="0"/>
          <w:numId w:val="0"/>
        </w:numPr>
        <w:spacing w:line="360" w:lineRule="auto"/>
        <w:ind w:firstLine="420" w:firstLineChars="200"/>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各申请人须在开标前24小时内上传文件，将制作生成的NGEF、SNGEF、CZR投标文件压缩（压缩包中不能含有二级目录）上传至金昌市公共资源交易电子服务系统 V2.0，若未按时上传或上传的文件损坏将导致贵单位不能正常投标，对此引起的后果贵单位自行承担。使用最新版的综合电子标投标文件制作工具，上传通道于投标文件递交截止时间前开启，请各投标人在截止时间前在线递交投标文件，并在开标前两小时登录https://jcebid3.ejiaoyi.vip:16000/bid-ejiaoyi-jcs/bidder-login在线签到，具体操作流程及投标文件制作工具请登录www.ejiaoyi.vip下载中心下载）。</w:t>
      </w:r>
    </w:p>
    <w:p>
      <w:pPr>
        <w:numPr>
          <w:ilvl w:val="0"/>
          <w:numId w:val="0"/>
        </w:numPr>
        <w:spacing w:line="360" w:lineRule="auto"/>
        <w:ind w:firstLine="420" w:firstLineChars="200"/>
        <w:rPr>
          <w:rFonts w:hint="eastAsia" w:ascii="Calibri" w:hAnsi="Calibri" w:eastAsia="宋体" w:cs="Calibri"/>
          <w:b w:val="0"/>
          <w:bCs w:val="0"/>
          <w:color w:val="auto"/>
          <w:kern w:val="2"/>
          <w:sz w:val="21"/>
          <w:szCs w:val="21"/>
          <w:highlight w:val="none"/>
          <w:lang w:val="en-US" w:eastAsia="zh-CN" w:bidi="ar-SA"/>
        </w:rPr>
      </w:pPr>
      <w:r>
        <w:rPr>
          <w:rFonts w:hint="eastAsia" w:ascii="Calibri" w:hAnsi="Calibri" w:eastAsia="宋体" w:cs="Calibri"/>
          <w:b w:val="0"/>
          <w:bCs w:val="0"/>
          <w:color w:val="auto"/>
          <w:kern w:val="2"/>
          <w:sz w:val="21"/>
          <w:szCs w:val="21"/>
          <w:highlight w:val="none"/>
          <w:lang w:val="en-US" w:eastAsia="zh-CN" w:bidi="ar-SA"/>
        </w:rPr>
        <w:t>签到：请于投标截止时间前点击签到进入签到环节，仔细输入相关信息，并上传授权委托书，填写完成之后点击提交；提交完成后系统自动生成实名认证二维码，可使用微信或支付宝扫描二维码进行实名认证签到。（如实名认证不通过，可在开标前30分钟进行紧急签到环节，上传一张手持身份证的实时照片。）申请人或授权委托代理人应当准备本人身份证和授权委托书及法定代表人身份证明参加网络开标会议，签到时应根据系统提示及时上传授权委托书及法定代表人身份证明（与资格预审申请文件相应内容完全一致）并通过手机视频终端完成授权委托人面部信息采集。申请人上传申请文件、在线签到和面部信息采集通道于申请截止时间自动关闭，各申请人必须于申请截止时间前按上述要求完成申请文件提交、在线签到和有关人员的面部信息采集。</w:t>
      </w:r>
    </w:p>
    <w:p>
      <w:pPr>
        <w:pStyle w:val="7"/>
        <w:numPr>
          <w:ilvl w:val="0"/>
          <w:numId w:val="2"/>
        </w:numPr>
        <w:spacing w:before="0" w:line="240" w:lineRule="auto"/>
        <w:rPr>
          <w:rFonts w:hint="default" w:ascii="Times New Roman" w:hAnsi="Times New Roman" w:eastAsia="黑体" w:cs="Times New Roman"/>
          <w:b w:val="0"/>
          <w:bCs w:val="0"/>
          <w:color w:val="auto"/>
          <w:kern w:val="2"/>
          <w:sz w:val="24"/>
          <w:szCs w:val="24"/>
          <w:highlight w:val="none"/>
          <w:lang w:val="en-US" w:eastAsia="zh-CN" w:bidi="ar-SA"/>
        </w:rPr>
      </w:pPr>
      <w:bookmarkStart w:id="26" w:name="_Toc15900"/>
      <w:r>
        <w:rPr>
          <w:rFonts w:hint="eastAsia" w:ascii="Times New Roman" w:hAnsi="Times New Roman" w:eastAsia="黑体" w:cs="Times New Roman"/>
          <w:b w:val="0"/>
          <w:bCs w:val="0"/>
          <w:color w:val="auto"/>
          <w:kern w:val="2"/>
          <w:sz w:val="24"/>
          <w:szCs w:val="24"/>
          <w:highlight w:val="none"/>
          <w:lang w:val="en-US" w:eastAsia="zh-CN" w:bidi="ar-SA"/>
        </w:rPr>
        <w:t>投标文件的递交</w:t>
      </w:r>
      <w:bookmarkEnd w:id="26"/>
    </w:p>
    <w:p>
      <w:pPr>
        <w:pStyle w:val="6"/>
        <w:rPr>
          <w:rFonts w:hint="eastAsia" w:ascii="Calibri" w:hAnsi="Calibri" w:eastAsia="宋体" w:cs="Calibri"/>
          <w:b w:val="0"/>
          <w:bCs w:val="0"/>
          <w:color w:val="auto"/>
          <w:kern w:val="2"/>
          <w:sz w:val="21"/>
          <w:szCs w:val="21"/>
          <w:highlight w:val="none"/>
          <w:lang w:val="en-US" w:eastAsia="zh-CN" w:bidi="ar-SA"/>
        </w:rPr>
      </w:pPr>
      <w:r>
        <w:rPr>
          <w:rFonts w:hint="eastAsia" w:ascii="Calibri" w:hAnsi="Calibri" w:eastAsia="宋体" w:cs="Calibri"/>
          <w:b w:val="0"/>
          <w:bCs w:val="0"/>
          <w:color w:val="auto"/>
          <w:kern w:val="2"/>
          <w:sz w:val="21"/>
          <w:szCs w:val="21"/>
          <w:highlight w:val="none"/>
          <w:lang w:val="en-US" w:eastAsia="zh-CN" w:bidi="ar-SA"/>
        </w:rPr>
        <w:t>1、网上开标时间</w:t>
      </w:r>
      <w:r>
        <w:rPr>
          <w:rFonts w:hint="eastAsia" w:ascii="宋体" w:hAnsi="宋体" w:eastAsia="宋体" w:cs="宋体"/>
          <w:b w:val="0"/>
          <w:bCs w:val="0"/>
          <w:color w:val="auto"/>
          <w:kern w:val="2"/>
          <w:sz w:val="21"/>
          <w:szCs w:val="21"/>
          <w:highlight w:val="none"/>
          <w:lang w:val="en-US" w:eastAsia="zh-CN" w:bidi="ar-SA"/>
        </w:rPr>
        <w:t>：2024年7月16日9时00分</w:t>
      </w:r>
      <w:r>
        <w:rPr>
          <w:rFonts w:hint="eastAsia" w:ascii="Calibri" w:hAnsi="Calibri" w:eastAsia="宋体" w:cs="Calibri"/>
          <w:b w:val="0"/>
          <w:bCs w:val="0"/>
          <w:color w:val="auto"/>
          <w:kern w:val="2"/>
          <w:sz w:val="21"/>
          <w:szCs w:val="21"/>
          <w:highlight w:val="none"/>
          <w:lang w:val="en-US" w:eastAsia="zh-CN" w:bidi="ar-SA"/>
        </w:rPr>
        <w:t>（北京时间）。</w:t>
      </w:r>
    </w:p>
    <w:p>
      <w:pPr>
        <w:pStyle w:val="6"/>
        <w:rPr>
          <w:rFonts w:hint="eastAsia" w:ascii="Calibri" w:hAnsi="Calibri" w:eastAsia="宋体" w:cs="Calibri"/>
          <w:b w:val="0"/>
          <w:bCs w:val="0"/>
          <w:color w:val="auto"/>
          <w:kern w:val="2"/>
          <w:sz w:val="21"/>
          <w:szCs w:val="21"/>
          <w:highlight w:val="none"/>
          <w:lang w:val="en-US" w:eastAsia="zh-CN" w:bidi="ar-SA"/>
        </w:rPr>
      </w:pPr>
      <w:bookmarkStart w:id="27" w:name="_Hlk108010828"/>
      <w:r>
        <w:rPr>
          <w:rFonts w:hint="eastAsia" w:ascii="Calibri" w:hAnsi="Calibri" w:eastAsia="宋体" w:cs="Calibri"/>
          <w:b w:val="0"/>
          <w:bCs w:val="0"/>
          <w:color w:val="auto"/>
          <w:kern w:val="2"/>
          <w:sz w:val="21"/>
          <w:szCs w:val="21"/>
          <w:highlight w:val="none"/>
          <w:lang w:val="en-US" w:eastAsia="zh-CN" w:bidi="ar-SA"/>
        </w:rPr>
        <w:t>2、投标地址：金昌市综合电子辅助开标系统</w:t>
      </w:r>
      <w:bookmarkEnd w:id="27"/>
      <w:r>
        <w:rPr>
          <w:rFonts w:hint="eastAsia" w:ascii="Calibri" w:hAnsi="Calibri" w:eastAsia="宋体" w:cs="Calibri"/>
          <w:b w:val="0"/>
          <w:bCs w:val="0"/>
          <w:color w:val="auto"/>
          <w:kern w:val="2"/>
          <w:sz w:val="21"/>
          <w:szCs w:val="21"/>
          <w:highlight w:val="none"/>
          <w:lang w:val="en-US" w:eastAsia="zh-CN" w:bidi="ar-SA"/>
        </w:rPr>
        <w:t>（https://jcebid3.ejiaoyi.vip:16000/bid-ejiaoyi-jcs/bidder-login）。</w:t>
      </w:r>
    </w:p>
    <w:p>
      <w:pPr>
        <w:pStyle w:val="6"/>
        <w:rPr>
          <w:rFonts w:hint="eastAsia" w:ascii="Calibri" w:hAnsi="Calibri" w:eastAsia="宋体" w:cs="Calibri"/>
          <w:b w:val="0"/>
          <w:bCs w:val="0"/>
          <w:color w:val="auto"/>
          <w:kern w:val="2"/>
          <w:sz w:val="21"/>
          <w:szCs w:val="21"/>
          <w:highlight w:val="none"/>
          <w:lang w:val="en-US" w:eastAsia="zh-CN" w:bidi="ar-SA"/>
        </w:rPr>
      </w:pPr>
      <w:r>
        <w:rPr>
          <w:rFonts w:hint="eastAsia" w:ascii="Calibri" w:hAnsi="Calibri" w:eastAsia="宋体" w:cs="Calibri"/>
          <w:b w:val="0"/>
          <w:bCs w:val="0"/>
          <w:color w:val="auto"/>
          <w:kern w:val="2"/>
          <w:sz w:val="21"/>
          <w:szCs w:val="21"/>
          <w:highlight w:val="none"/>
          <w:lang w:val="en-US" w:eastAsia="zh-CN" w:bidi="ar-SA"/>
        </w:rPr>
        <w:t>3、评标地址：金昌市公共资源交易中心第一评标室。</w:t>
      </w:r>
    </w:p>
    <w:p>
      <w:pPr>
        <w:pStyle w:val="7"/>
        <w:numPr>
          <w:ilvl w:val="0"/>
          <w:numId w:val="2"/>
        </w:numPr>
        <w:spacing w:before="0" w:line="240" w:lineRule="auto"/>
        <w:rPr>
          <w:rFonts w:hint="eastAsia" w:ascii="Times New Roman" w:hAnsi="Times New Roman" w:eastAsia="黑体" w:cs="Times New Roman"/>
          <w:b w:val="0"/>
          <w:bCs w:val="0"/>
          <w:color w:val="auto"/>
          <w:kern w:val="2"/>
          <w:sz w:val="24"/>
          <w:szCs w:val="24"/>
          <w:highlight w:val="none"/>
          <w:lang w:val="en-US" w:eastAsia="zh-CN" w:bidi="ar-SA"/>
        </w:rPr>
      </w:pPr>
      <w:bookmarkStart w:id="28" w:name="_Toc8702"/>
      <w:r>
        <w:rPr>
          <w:rFonts w:hint="eastAsia" w:ascii="Times New Roman" w:hAnsi="Times New Roman" w:eastAsia="黑体" w:cs="Times New Roman"/>
          <w:b w:val="0"/>
          <w:bCs w:val="0"/>
          <w:color w:val="auto"/>
          <w:kern w:val="2"/>
          <w:sz w:val="24"/>
          <w:szCs w:val="24"/>
          <w:highlight w:val="none"/>
          <w:lang w:val="en-US" w:eastAsia="zh-CN" w:bidi="ar-SA"/>
        </w:rPr>
        <w:t>发布公告的媒介</w:t>
      </w:r>
      <w:bookmarkEnd w:id="24"/>
      <w:bookmarkEnd w:id="25"/>
      <w:bookmarkEnd w:id="28"/>
    </w:p>
    <w:p>
      <w:pPr>
        <w:spacing w:line="360" w:lineRule="auto"/>
        <w:ind w:firstLine="424" w:firstLineChars="202"/>
        <w:rPr>
          <w:rFonts w:hint="eastAsia" w:ascii="Times New Roman" w:hAnsi="Times New Roman" w:eastAsia="黑体" w:cs="Times New Roman"/>
          <w:b/>
          <w:bCs/>
          <w:color w:val="auto"/>
          <w:kern w:val="2"/>
          <w:sz w:val="32"/>
          <w:szCs w:val="32"/>
          <w:highlight w:val="none"/>
          <w:lang w:val="en-US" w:eastAsia="zh-CN" w:bidi="ar-SA"/>
        </w:rPr>
      </w:pPr>
      <w:r>
        <w:rPr>
          <w:rFonts w:hint="eastAsia" w:ascii="Calibri" w:hAnsi="Calibri" w:cs="Calibri"/>
          <w:color w:val="auto"/>
          <w:szCs w:val="21"/>
          <w:highlight w:val="none"/>
        </w:rPr>
        <w:t>本次招标公告在金昌市公共资源交易网（http://ggzy.jcs.gov.cn）上发布。</w:t>
      </w:r>
    </w:p>
    <w:p>
      <w:pPr>
        <w:pStyle w:val="7"/>
        <w:numPr>
          <w:ilvl w:val="0"/>
          <w:numId w:val="2"/>
        </w:numPr>
        <w:spacing w:before="0" w:line="240" w:lineRule="auto"/>
        <w:rPr>
          <w:rFonts w:hint="eastAsia" w:ascii="Times New Roman" w:hAnsi="Times New Roman" w:eastAsia="黑体" w:cs="Times New Roman"/>
          <w:b w:val="0"/>
          <w:bCs w:val="0"/>
          <w:color w:val="auto"/>
          <w:kern w:val="2"/>
          <w:sz w:val="24"/>
          <w:szCs w:val="24"/>
          <w:highlight w:val="none"/>
          <w:lang w:val="en-US" w:eastAsia="zh-CN" w:bidi="ar-SA"/>
        </w:rPr>
      </w:pPr>
      <w:bookmarkStart w:id="29" w:name="_Toc8051"/>
      <w:bookmarkStart w:id="30" w:name="_Toc62807278"/>
      <w:bookmarkStart w:id="31" w:name="_Toc30233"/>
      <w:r>
        <w:rPr>
          <w:rFonts w:hint="eastAsia" w:ascii="Times New Roman" w:hAnsi="Times New Roman" w:eastAsia="黑体" w:cs="Times New Roman"/>
          <w:b w:val="0"/>
          <w:bCs w:val="0"/>
          <w:color w:val="auto"/>
          <w:kern w:val="2"/>
          <w:sz w:val="24"/>
          <w:szCs w:val="24"/>
          <w:highlight w:val="none"/>
          <w:lang w:val="en-US" w:eastAsia="zh-CN" w:bidi="ar-SA"/>
        </w:rPr>
        <w:t>联系方式</w:t>
      </w:r>
      <w:bookmarkEnd w:id="29"/>
      <w:bookmarkEnd w:id="30"/>
      <w:bookmarkEnd w:id="31"/>
    </w:p>
    <w:p>
      <w:pPr>
        <w:spacing w:line="360" w:lineRule="auto"/>
        <w:rPr>
          <w:rFonts w:hint="eastAsia" w:ascii="宋体" w:hAnsi="宋体"/>
          <w:color w:val="auto"/>
          <w:szCs w:val="21"/>
          <w:highlight w:val="none"/>
        </w:rPr>
      </w:pPr>
      <w:r>
        <w:rPr>
          <w:rFonts w:hint="eastAsia" w:ascii="宋体" w:hAnsi="宋体"/>
          <w:color w:val="auto"/>
          <w:szCs w:val="21"/>
          <w:highlight w:val="none"/>
        </w:rPr>
        <w:t>招 标 人：金川集团工程建设有限公司</w:t>
      </w:r>
    </w:p>
    <w:p>
      <w:pPr>
        <w:spacing w:line="360" w:lineRule="auto"/>
        <w:rPr>
          <w:rFonts w:hint="eastAsia" w:ascii="宋体" w:hAnsi="宋体"/>
          <w:color w:val="auto"/>
          <w:szCs w:val="21"/>
          <w:highlight w:val="none"/>
        </w:rPr>
      </w:pPr>
      <w:r>
        <w:rPr>
          <w:rFonts w:hint="eastAsia" w:ascii="宋体" w:hAnsi="宋体"/>
          <w:color w:val="auto"/>
          <w:szCs w:val="21"/>
          <w:highlight w:val="none"/>
        </w:rPr>
        <w:t>地    址：甘肃省金昌市金川区北京路31号</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邮    编：737100 </w:t>
      </w:r>
    </w:p>
    <w:p>
      <w:pPr>
        <w:spacing w:line="360" w:lineRule="auto"/>
        <w:rPr>
          <w:rFonts w:hint="eastAsia" w:ascii="宋体" w:hAnsi="宋体"/>
          <w:color w:val="auto"/>
          <w:szCs w:val="21"/>
          <w:highlight w:val="none"/>
        </w:rPr>
      </w:pPr>
      <w:r>
        <w:rPr>
          <w:rFonts w:hint="eastAsia" w:ascii="宋体" w:hAnsi="宋体"/>
          <w:color w:val="auto"/>
          <w:szCs w:val="21"/>
          <w:highlight w:val="none"/>
        </w:rPr>
        <w:t>联系人及电话：</w:t>
      </w:r>
      <w:r>
        <w:rPr>
          <w:rFonts w:hint="eastAsia" w:ascii="宋体" w:hAnsi="宋体"/>
          <w:color w:val="auto"/>
          <w:szCs w:val="21"/>
          <w:highlight w:val="none"/>
          <w:lang w:val="en-US" w:eastAsia="zh-CN"/>
        </w:rPr>
        <w:t>曾祥荣、王文昌</w:t>
      </w:r>
      <w:r>
        <w:rPr>
          <w:rFonts w:hint="eastAsia" w:ascii="宋体" w:hAnsi="宋体"/>
          <w:color w:val="auto"/>
          <w:szCs w:val="21"/>
          <w:highlight w:val="none"/>
        </w:rPr>
        <w:t xml:space="preserve">  </w:t>
      </w:r>
    </w:p>
    <w:p>
      <w:pPr>
        <w:spacing w:line="360" w:lineRule="auto"/>
        <w:rPr>
          <w:rFonts w:hint="eastAsia" w:ascii="宋体" w:hAnsi="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lang w:val="en-US" w:eastAsia="zh-CN"/>
        </w:rPr>
        <w:t>18993522725、18193596275</w:t>
      </w:r>
      <w:r>
        <w:rPr>
          <w:rFonts w:hint="eastAsia" w:ascii="宋体" w:hAnsi="宋体"/>
          <w:color w:val="auto"/>
          <w:szCs w:val="21"/>
          <w:highlight w:val="none"/>
        </w:rPr>
        <w:t xml:space="preserve">  </w:t>
      </w:r>
    </w:p>
    <w:p>
      <w:pPr>
        <w:spacing w:line="360" w:lineRule="auto"/>
        <w:rPr>
          <w:rFonts w:hint="eastAsia" w:ascii="宋体" w:hAnsi="宋体"/>
          <w:color w:val="auto"/>
          <w:szCs w:val="21"/>
          <w:highlight w:val="none"/>
        </w:rPr>
      </w:pPr>
    </w:p>
    <w:p>
      <w:pPr>
        <w:topLinePunct/>
        <w:spacing w:line="360" w:lineRule="auto"/>
        <w:rPr>
          <w:rFonts w:ascii="宋体" w:hAnsi="宋体"/>
          <w:color w:val="auto"/>
          <w:szCs w:val="21"/>
          <w:highlight w:val="none"/>
          <w:u w:val="single"/>
        </w:rPr>
      </w:pPr>
      <w:r>
        <w:rPr>
          <w:rFonts w:hint="eastAsia" w:ascii="宋体" w:hAnsi="宋体"/>
          <w:color w:val="auto"/>
          <w:szCs w:val="21"/>
          <w:highlight w:val="none"/>
        </w:rPr>
        <w:t>招标代理机构：</w:t>
      </w:r>
      <w:r>
        <w:rPr>
          <w:rFonts w:hint="eastAsia" w:ascii="宋体" w:hAnsi="宋体"/>
          <w:color w:val="auto"/>
          <w:szCs w:val="21"/>
          <w:highlight w:val="none"/>
          <w:lang w:val="en-US" w:eastAsia="zh-CN"/>
        </w:rPr>
        <w:t>甘肃省招标中心有限公司</w:t>
      </w:r>
      <w:r>
        <w:rPr>
          <w:rFonts w:ascii="宋体" w:hAnsi="宋体"/>
          <w:color w:val="auto"/>
          <w:szCs w:val="21"/>
          <w:highlight w:val="none"/>
        </w:rPr>
        <w:t xml:space="preserve"> </w:t>
      </w:r>
    </w:p>
    <w:p>
      <w:pPr>
        <w:topLinePunct/>
        <w:spacing w:line="360" w:lineRule="auto"/>
        <w:rPr>
          <w:rFonts w:ascii="宋体" w:hAnsi="宋体"/>
          <w:color w:val="auto"/>
          <w:szCs w:val="21"/>
          <w:highlight w:val="none"/>
          <w:u w:val="single"/>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址：兰州市城关区飞雁街118号</w:t>
      </w:r>
    </w:p>
    <w:p>
      <w:pPr>
        <w:topLinePunct/>
        <w:spacing w:line="360" w:lineRule="auto"/>
        <w:rPr>
          <w:rFonts w:ascii="宋体" w:hAnsi="宋体"/>
          <w:color w:val="auto"/>
          <w:szCs w:val="21"/>
          <w:highlight w:val="none"/>
        </w:rPr>
      </w:pPr>
      <w:r>
        <w:rPr>
          <w:rFonts w:hint="eastAsia" w:ascii="宋体" w:hAnsi="宋体"/>
          <w:color w:val="auto"/>
          <w:szCs w:val="21"/>
          <w:highlight w:val="none"/>
        </w:rPr>
        <w:t>邮</w:t>
      </w:r>
      <w:r>
        <w:rPr>
          <w:rFonts w:ascii="宋体" w:hAnsi="宋体"/>
          <w:color w:val="auto"/>
          <w:szCs w:val="21"/>
          <w:highlight w:val="none"/>
        </w:rPr>
        <w:t xml:space="preserve">    </w:t>
      </w:r>
      <w:r>
        <w:rPr>
          <w:rFonts w:hint="eastAsia" w:ascii="宋体" w:hAnsi="宋体"/>
          <w:color w:val="auto"/>
          <w:szCs w:val="21"/>
          <w:highlight w:val="none"/>
        </w:rPr>
        <w:t>编：</w:t>
      </w:r>
      <w:r>
        <w:rPr>
          <w:rFonts w:ascii="宋体" w:hAnsi="宋体"/>
          <w:color w:val="auto"/>
          <w:szCs w:val="21"/>
          <w:highlight w:val="none"/>
        </w:rPr>
        <w:t xml:space="preserve">737100 </w:t>
      </w:r>
    </w:p>
    <w:p>
      <w:pPr>
        <w:topLinePunct/>
        <w:spacing w:line="360" w:lineRule="auto"/>
        <w:rPr>
          <w:rFonts w:hint="default" w:ascii="宋体" w:hAnsi="宋体"/>
          <w:color w:val="auto"/>
          <w:szCs w:val="21"/>
          <w:highlight w:val="none"/>
          <w:lang w:val="en-US" w:eastAsia="zh-CN"/>
        </w:rPr>
      </w:pPr>
      <w:r>
        <w:rPr>
          <w:rFonts w:hint="eastAsia" w:ascii="宋体" w:hAnsi="宋体"/>
          <w:color w:val="auto"/>
          <w:szCs w:val="21"/>
          <w:highlight w:val="none"/>
        </w:rPr>
        <w:t>联</w:t>
      </w:r>
      <w:r>
        <w:rPr>
          <w:rFonts w:ascii="宋体" w:hAnsi="宋体"/>
          <w:color w:val="auto"/>
          <w:szCs w:val="21"/>
          <w:highlight w:val="none"/>
        </w:rPr>
        <w:t xml:space="preserve"> </w:t>
      </w:r>
      <w:r>
        <w:rPr>
          <w:rFonts w:hint="eastAsia" w:ascii="宋体" w:hAnsi="宋体"/>
          <w:color w:val="auto"/>
          <w:szCs w:val="21"/>
          <w:highlight w:val="none"/>
        </w:rPr>
        <w:t>系</w:t>
      </w:r>
      <w:r>
        <w:rPr>
          <w:rFonts w:ascii="宋体" w:hAnsi="宋体"/>
          <w:color w:val="auto"/>
          <w:szCs w:val="21"/>
          <w:highlight w:val="none"/>
        </w:rPr>
        <w:t xml:space="preserve"> </w:t>
      </w:r>
      <w:r>
        <w:rPr>
          <w:rFonts w:hint="eastAsia" w:ascii="宋体" w:hAnsi="宋体"/>
          <w:color w:val="auto"/>
          <w:szCs w:val="21"/>
          <w:highlight w:val="none"/>
        </w:rPr>
        <w:t>人：</w:t>
      </w:r>
      <w:r>
        <w:rPr>
          <w:rFonts w:hint="eastAsia" w:ascii="宋体" w:hAnsi="宋体"/>
          <w:color w:val="auto"/>
          <w:szCs w:val="21"/>
          <w:highlight w:val="none"/>
          <w:lang w:val="en-US" w:eastAsia="zh-CN"/>
        </w:rPr>
        <w:t>金兆龙、张志军</w:t>
      </w:r>
    </w:p>
    <w:p>
      <w:pPr>
        <w:topLinePunct/>
        <w:spacing w:line="360" w:lineRule="auto"/>
        <w:rPr>
          <w:rFonts w:hint="eastAsia" w:ascii="宋体" w:hAnsi="宋体"/>
          <w:color w:val="auto"/>
          <w:szCs w:val="21"/>
          <w:highlight w:val="none"/>
          <w:lang w:val="en-US" w:eastAsia="zh-CN"/>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lang w:val="en-US" w:eastAsia="zh-CN"/>
        </w:rPr>
        <w:t>18919433263、13659491449</w:t>
      </w:r>
    </w:p>
    <w:p>
      <w:pPr>
        <w:pStyle w:val="2"/>
        <w:rPr>
          <w:rFonts w:hint="default"/>
          <w:color w:val="auto"/>
          <w:highlight w:val="none"/>
          <w:lang w:val="en-US" w:eastAsia="zh-CN"/>
        </w:rPr>
      </w:pPr>
    </w:p>
    <w:p>
      <w:pPr>
        <w:spacing w:line="360" w:lineRule="auto"/>
        <w:rPr>
          <w:rFonts w:hint="eastAsia" w:ascii="宋体" w:hAnsi="宋体"/>
          <w:color w:val="auto"/>
          <w:szCs w:val="21"/>
          <w:highlight w:val="none"/>
        </w:rPr>
      </w:pPr>
      <w:r>
        <w:rPr>
          <w:rFonts w:hint="eastAsia" w:ascii="宋体" w:hAnsi="宋体"/>
          <w:color w:val="auto"/>
          <w:szCs w:val="21"/>
          <w:highlight w:val="none"/>
        </w:rPr>
        <w:t>招标地点：金昌市公共资源交易中心（金昌市金川区延安西路20号）</w:t>
      </w:r>
    </w:p>
    <w:p>
      <w:pPr>
        <w:spacing w:line="360" w:lineRule="auto"/>
        <w:rPr>
          <w:rFonts w:hint="eastAsia" w:ascii="宋体" w:hAnsi="宋体"/>
          <w:color w:val="auto"/>
          <w:szCs w:val="21"/>
          <w:highlight w:val="none"/>
        </w:rPr>
      </w:pPr>
      <w:r>
        <w:rPr>
          <w:rFonts w:hint="eastAsia" w:ascii="宋体" w:hAnsi="宋体"/>
          <w:color w:val="auto"/>
          <w:szCs w:val="21"/>
          <w:highlight w:val="none"/>
        </w:rPr>
        <w:t>联系人：俞敏</w:t>
      </w:r>
    </w:p>
    <w:p>
      <w:pPr>
        <w:spacing w:line="360" w:lineRule="auto"/>
        <w:rPr>
          <w:rFonts w:hint="eastAsia" w:ascii="宋体" w:hAnsi="宋体"/>
          <w:color w:val="auto"/>
          <w:szCs w:val="21"/>
          <w:highlight w:val="none"/>
        </w:rPr>
      </w:pPr>
      <w:r>
        <w:rPr>
          <w:rFonts w:hint="eastAsia" w:ascii="宋体" w:hAnsi="宋体"/>
          <w:color w:val="auto"/>
          <w:szCs w:val="21"/>
          <w:highlight w:val="none"/>
        </w:rPr>
        <w:t>联系电话：0935-8325228</w:t>
      </w:r>
    </w:p>
    <w:p>
      <w:pPr>
        <w:spacing w:line="360" w:lineRule="auto"/>
        <w:ind w:firstLine="2593" w:firstLineChars="1235"/>
        <w:rPr>
          <w:rFonts w:hint="eastAsia" w:ascii="宋体" w:hAnsi="宋体"/>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网上开标系统技术支持：4006131390   </w:t>
      </w:r>
    </w:p>
    <w:p>
      <w:pPr>
        <w:spacing w:line="360" w:lineRule="auto"/>
        <w:rPr>
          <w:rFonts w:hint="eastAsia" w:ascii="宋体" w:hAnsi="宋体"/>
          <w:color w:val="auto"/>
          <w:szCs w:val="21"/>
          <w:highlight w:val="none"/>
        </w:rPr>
      </w:pPr>
      <w:r>
        <w:rPr>
          <w:rFonts w:hint="eastAsia" w:ascii="宋体" w:hAnsi="宋体"/>
          <w:color w:val="auto"/>
          <w:szCs w:val="21"/>
          <w:highlight w:val="none"/>
        </w:rPr>
        <w:t>联系人：李孜浩</w:t>
      </w:r>
    </w:p>
    <w:p>
      <w:pPr>
        <w:spacing w:line="360" w:lineRule="auto"/>
        <w:rPr>
          <w:rFonts w:hint="eastAsia" w:ascii="宋体" w:hAnsi="宋体"/>
          <w:color w:val="auto"/>
          <w:szCs w:val="21"/>
          <w:highlight w:val="none"/>
        </w:rPr>
      </w:pPr>
      <w:r>
        <w:rPr>
          <w:rFonts w:hint="eastAsia" w:ascii="宋体" w:hAnsi="宋体"/>
          <w:color w:val="auto"/>
          <w:szCs w:val="21"/>
          <w:highlight w:val="none"/>
        </w:rPr>
        <w:t>联系电话：13209458889</w:t>
      </w:r>
    </w:p>
    <w:p>
      <w:pPr>
        <w:spacing w:line="360" w:lineRule="auto"/>
        <w:rPr>
          <w:rFonts w:hint="eastAsia" w:ascii="宋体" w:hAnsi="宋体"/>
          <w:color w:val="auto"/>
          <w:szCs w:val="21"/>
          <w:highlight w:val="none"/>
        </w:rPr>
      </w:pPr>
      <w:r>
        <w:rPr>
          <w:rFonts w:hint="eastAsia" w:ascii="宋体" w:hAnsi="宋体"/>
          <w:color w:val="auto"/>
          <w:szCs w:val="21"/>
          <w:highlight w:val="none"/>
        </w:rPr>
        <w:t>监管单位：金昌市工业和信息化局</w:t>
      </w:r>
    </w:p>
    <w:p>
      <w:pPr>
        <w:jc w:val="right"/>
      </w:pPr>
      <w:r>
        <w:rPr>
          <w:rFonts w:hint="eastAsia" w:ascii="宋体" w:hAnsi="宋体"/>
          <w:color w:val="auto"/>
          <w:szCs w:val="21"/>
          <w:highlight w:val="none"/>
        </w:rPr>
        <w:t>202</w:t>
      </w:r>
      <w:r>
        <w:rPr>
          <w:rFonts w:hint="eastAsia" w:ascii="宋体" w:hAnsi="宋体"/>
          <w:color w:val="auto"/>
          <w:szCs w:val="21"/>
          <w:highlight w:val="none"/>
          <w:lang w:val="en-US" w:eastAsia="zh-CN"/>
        </w:rPr>
        <w:t>4</w:t>
      </w:r>
      <w:r>
        <w:rPr>
          <w:rFonts w:hint="eastAsia" w:ascii="宋体" w:hAnsi="宋体"/>
          <w:color w:val="auto"/>
          <w:szCs w:val="21"/>
          <w:highlight w:val="none"/>
        </w:rPr>
        <w:t>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25</w:t>
      </w:r>
      <w:r>
        <w:rPr>
          <w:rFonts w:hint="eastAsia" w:ascii="宋体" w:hAnsi="宋体"/>
          <w:color w:val="auto"/>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A85BD"/>
    <w:multiLevelType w:val="singleLevel"/>
    <w:tmpl w:val="07AA85BD"/>
    <w:lvl w:ilvl="0" w:tentative="0">
      <w:start w:val="1"/>
      <w:numFmt w:val="decimal"/>
      <w:suff w:val="nothing"/>
      <w:lvlText w:val="%1、"/>
      <w:lvlJc w:val="left"/>
    </w:lvl>
  </w:abstractNum>
  <w:abstractNum w:abstractNumId="1">
    <w:nsid w:val="4D552339"/>
    <w:multiLevelType w:val="singleLevel"/>
    <w:tmpl w:val="4D552339"/>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111F8"/>
    <w:rsid w:val="3BA1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afterLines="0"/>
    </w:pPr>
    <w:rPr>
      <w:rFonts w:eastAsia="宋体"/>
      <w:kern w:val="2"/>
      <w:sz w:val="21"/>
      <w:szCs w:val="24"/>
      <w:lang w:val="en-US" w:eastAsia="zh-CN" w:bidi="ar-SA"/>
    </w:rPr>
  </w:style>
  <w:style w:type="paragraph" w:customStyle="1" w:styleId="6">
    <w:name w:val="正文文本格式"/>
    <w:basedOn w:val="1"/>
    <w:qFormat/>
    <w:uiPriority w:val="0"/>
    <w:pPr>
      <w:adjustRightInd w:val="0"/>
      <w:snapToGrid w:val="0"/>
      <w:spacing w:line="500" w:lineRule="exact"/>
      <w:ind w:firstLine="480" w:firstLineChars="200"/>
      <w:jc w:val="left"/>
    </w:pPr>
    <w:rPr>
      <w:rFonts w:ascii="Calibri" w:hAnsi="Calibri" w:eastAsia="Times New Roman" w:cs="Calibri"/>
      <w:color w:val="000000"/>
      <w:sz w:val="24"/>
    </w:rPr>
  </w:style>
  <w:style w:type="paragraph" w:customStyle="1" w:styleId="7">
    <w:name w:val="样式 标题 2 + Times New Roman 四号 非加粗 段前: 5 磅 段后: 0 磅 行距: 固定值 20..."/>
    <w:basedOn w:val="3"/>
    <w:uiPriority w:val="0"/>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2024-06-25T09:39:00Z</dcterms:created>
  <dc:creator>ZY</dc:creator>
  <cp:lastModifiedBy>ZY</cp:lastModifiedBy>
  <dcterms:modified xsi:type="dcterms:W3CDTF">2024-06-25T09:40:06Z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