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560" w:lineRule="exact"/>
        <w:ind w:hanging="11"/>
        <w:jc w:val="center"/>
        <w:outlineLvl w:val="0"/>
        <w:rPr>
          <w:rFonts w:ascii="黑体" w:hAnsi="黑体" w:eastAsia="黑体" w:cs="黑体"/>
          <w:color w:val="000000" w:themeColor="text1"/>
          <w:sz w:val="32"/>
          <w:szCs w:val="21"/>
          <w:highlight w:val="none"/>
          <w14:textFill>
            <w14:solidFill>
              <w14:schemeClr w14:val="tx1"/>
            </w14:solidFill>
          </w14:textFill>
        </w:rPr>
      </w:pPr>
      <w:r>
        <w:rPr>
          <w:rFonts w:hint="eastAsia" w:ascii="黑体" w:hAnsi="黑体" w:eastAsia="黑体" w:cs="黑体"/>
          <w:color w:val="000000" w:themeColor="text1"/>
          <w:sz w:val="32"/>
          <w:szCs w:val="21"/>
          <w:highlight w:val="none"/>
          <w14:textFill>
            <w14:solidFill>
              <w14:schemeClr w14:val="tx1"/>
            </w14:solidFill>
          </w14:textFill>
        </w:rPr>
        <w:t>靖煤集团景泰煤业有限公司</w:t>
      </w:r>
    </w:p>
    <w:p>
      <w:pPr>
        <w:keepNext/>
        <w:keepLines/>
        <w:spacing w:line="560" w:lineRule="exact"/>
        <w:ind w:hanging="11"/>
        <w:jc w:val="center"/>
        <w:outlineLvl w:val="0"/>
        <w:rPr>
          <w:rFonts w:ascii="黑体" w:hAnsi="黑体" w:eastAsia="黑体" w:cs="黑体"/>
          <w:color w:val="000000" w:themeColor="text1"/>
          <w:sz w:val="32"/>
          <w:szCs w:val="21"/>
          <w:highlight w:val="none"/>
          <w14:textFill>
            <w14:solidFill>
              <w14:schemeClr w14:val="tx1"/>
            </w14:solidFill>
          </w14:textFill>
        </w:rPr>
      </w:pPr>
      <w:r>
        <w:rPr>
          <w:rFonts w:hint="eastAsia" w:ascii="黑体" w:hAnsi="黑体" w:eastAsia="黑体" w:cs="黑体"/>
          <w:color w:val="000000" w:themeColor="text1"/>
          <w:sz w:val="32"/>
          <w:szCs w:val="21"/>
          <w:highlight w:val="none"/>
          <w14:textFill>
            <w14:solidFill>
              <w14:schemeClr w14:val="tx1"/>
            </w14:solidFill>
          </w14:textFill>
        </w:rPr>
        <w:t>白岩子矿井及选煤厂项目体育运动设施器材及职工活动场馆用品采购招标公告</w:t>
      </w:r>
    </w:p>
    <w:p>
      <w:pPr>
        <w:spacing w:line="560" w:lineRule="exac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 xml:space="preserve">招标编号：GZ2404160-JMJTJT                 </w:t>
      </w:r>
    </w:p>
    <w:p>
      <w:pPr>
        <w:spacing w:line="56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一、招标条件</w:t>
      </w:r>
    </w:p>
    <w:p>
      <w:pPr>
        <w:spacing w:line="520" w:lineRule="exact"/>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甘肃省招标中心有限公司受靖煤集团景泰煤业有限公司的委托，现对靖煤集团景泰煤业有限公司白岩子矿井及选煤厂项目体育运动设施器材及职工活动场馆用品采购进行公开招标。</w:t>
      </w:r>
    </w:p>
    <w:p>
      <w:pPr>
        <w:spacing w:line="56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二、项目概况与招标范围</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1.项目名称：靖煤集团景泰煤业有限公司白岩子矿井及选煤厂项目体育运动设施器材及职工活动场馆用品采购。</w:t>
      </w:r>
    </w:p>
    <w:p>
      <w:pPr>
        <w:spacing w:line="520" w:lineRule="exact"/>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概况：白岩子煤矿位于白银市景泰县，井田东西走向长约3.95km，南北倾斜宽约0.76km，面积4.0138km2。设计采用斜井开拓方式，布置有主斜井、副斜井以及回风立井三条井筒。全井田共划分为6个采区，矿井设计可采储量50.98Mt，设计开采规模0.9Mt/a，矿井服务年限40.5年。</w:t>
      </w:r>
    </w:p>
    <w:p>
      <w:pPr>
        <w:spacing w:line="520" w:lineRule="exact"/>
        <w:ind w:firstLine="482"/>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3.交货地点：景泰煤业公司白岩子矿井及选煤厂建设项目施工场地，并落地交货。</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4.标段划分：本项目为</w:t>
      </w:r>
      <w:r>
        <w:rPr>
          <w:rFonts w:hint="eastAsia" w:ascii="宋体" w:hAnsi="宋体" w:eastAsia="宋体" w:cs="宋体"/>
          <w:bCs/>
          <w:color w:val="000000" w:themeColor="text1"/>
          <w:sz w:val="24"/>
          <w:szCs w:val="24"/>
          <w:highlight w:val="none"/>
          <w14:textFill>
            <w14:solidFill>
              <w14:schemeClr w14:val="tx1"/>
            </w14:solidFill>
          </w14:textFill>
        </w:rPr>
        <w:t>四个标段。</w:t>
      </w:r>
    </w:p>
    <w:p>
      <w:pPr>
        <w:spacing w:line="520" w:lineRule="exact"/>
        <w:ind w:firstLine="482"/>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5.供货周期：供货期自合同签订之日</w:t>
      </w: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内到货。</w:t>
      </w:r>
    </w:p>
    <w:p>
      <w:pPr>
        <w:spacing w:line="56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6.招标内容：</w:t>
      </w:r>
    </w:p>
    <w:tbl>
      <w:tblPr>
        <w:tblStyle w:val="5"/>
        <w:tblW w:w="9958" w:type="dxa"/>
        <w:jc w:val="center"/>
        <w:tblLayout w:type="fixed"/>
        <w:tblCellMar>
          <w:top w:w="15" w:type="dxa"/>
          <w:left w:w="15" w:type="dxa"/>
          <w:bottom w:w="15" w:type="dxa"/>
          <w:right w:w="15" w:type="dxa"/>
        </w:tblCellMar>
      </w:tblPr>
      <w:tblGrid>
        <w:gridCol w:w="1425"/>
        <w:gridCol w:w="557"/>
        <w:gridCol w:w="3114"/>
        <w:gridCol w:w="999"/>
        <w:gridCol w:w="1027"/>
        <w:gridCol w:w="2836"/>
      </w:tblGrid>
      <w:tr>
        <w:tblPrEx>
          <w:tblCellMar>
            <w:top w:w="15" w:type="dxa"/>
            <w:left w:w="15" w:type="dxa"/>
            <w:bottom w:w="15" w:type="dxa"/>
            <w:right w:w="15" w:type="dxa"/>
          </w:tblCellMar>
        </w:tblPrEx>
        <w:trPr>
          <w:trHeight w:val="438" w:hRule="atLeast"/>
          <w:jc w:val="center"/>
        </w:trPr>
        <w:tc>
          <w:tcPr>
            <w:tcW w:w="1425"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标段</w:t>
            </w:r>
          </w:p>
        </w:tc>
        <w:tc>
          <w:tcPr>
            <w:tcW w:w="557" w:type="dxa"/>
            <w:tcBorders>
              <w:top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序号</w:t>
            </w:r>
          </w:p>
        </w:tc>
        <w:tc>
          <w:tcPr>
            <w:tcW w:w="3114"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名称</w:t>
            </w:r>
          </w:p>
        </w:tc>
        <w:tc>
          <w:tcPr>
            <w:tcW w:w="999"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单位</w:t>
            </w:r>
          </w:p>
        </w:tc>
        <w:tc>
          <w:tcPr>
            <w:tcW w:w="1027"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数量</w:t>
            </w:r>
          </w:p>
        </w:tc>
        <w:tc>
          <w:tcPr>
            <w:tcW w:w="2836" w:type="dxa"/>
            <w:tcBorders>
              <w:top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b/>
                <w:color w:val="000000"/>
                <w:sz w:val="22"/>
                <w:highlight w:val="none"/>
              </w:rPr>
            </w:pPr>
            <w:r>
              <w:rPr>
                <w:rFonts w:hint="eastAsia" w:ascii="宋体" w:hAnsi="宋体" w:eastAsia="宋体" w:cs="宋体"/>
                <w:b/>
                <w:color w:val="000000"/>
                <w:sz w:val="22"/>
                <w:highlight w:val="none"/>
                <w:lang w:bidi="ar"/>
              </w:rPr>
              <w:t>备 注</w:t>
            </w:r>
          </w:p>
        </w:tc>
      </w:tr>
      <w:tr>
        <w:tblPrEx>
          <w:tblCellMar>
            <w:top w:w="15" w:type="dxa"/>
            <w:left w:w="15" w:type="dxa"/>
            <w:bottom w:w="15" w:type="dxa"/>
            <w:right w:w="15" w:type="dxa"/>
          </w:tblCellMar>
        </w:tblPrEx>
        <w:trPr>
          <w:trHeight w:val="438" w:hRule="atLeast"/>
          <w:jc w:val="center"/>
        </w:trPr>
        <w:tc>
          <w:tcPr>
            <w:tcW w:w="1425" w:type="dxa"/>
            <w:tcBorders>
              <w:top w:val="single" w:color="000000" w:sz="12" w:space="0"/>
              <w:left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第1标段</w:t>
            </w: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LED显示屏</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w:t>
            </w:r>
          </w:p>
        </w:tc>
        <w:tc>
          <w:tcPr>
            <w:tcW w:w="1027" w:type="dxa"/>
            <w:tcBorders>
              <w:bottom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18</w:t>
            </w:r>
          </w:p>
        </w:tc>
        <w:tc>
          <w:tcPr>
            <w:tcW w:w="2836" w:type="dxa"/>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第2标段</w:t>
            </w: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音 箱</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4</w:t>
            </w:r>
          </w:p>
        </w:tc>
        <w:tc>
          <w:tcPr>
            <w:tcW w:w="2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功率放大器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3</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数字播放器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4</w:t>
            </w:r>
          </w:p>
        </w:tc>
        <w:tc>
          <w:tcPr>
            <w:tcW w:w="3114"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调音台</w:t>
            </w:r>
          </w:p>
        </w:tc>
        <w:tc>
          <w:tcPr>
            <w:tcW w:w="999"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top w:val="single" w:color="000000" w:sz="12" w:space="0"/>
              <w:left w:val="single" w:color="000000" w:sz="12" w:space="0"/>
              <w:bottom w:val="single" w:color="auto"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5</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会议话筒</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只</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283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无线话筒接收器</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7</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线及辅材配件等</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项</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69" w:hRule="atLeast"/>
          <w:jc w:val="center"/>
        </w:trPr>
        <w:tc>
          <w:tcPr>
            <w:tcW w:w="1425" w:type="dxa"/>
            <w:vMerge w:val="restart"/>
            <w:tcBorders>
              <w:left w:val="single" w:color="000000"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第3标段</w:t>
            </w:r>
          </w:p>
        </w:tc>
        <w:tc>
          <w:tcPr>
            <w:tcW w:w="55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篮球架</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套</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top w:val="single" w:color="auto" w:sz="12" w:space="0"/>
              <w:left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 xml:space="preserve">室内1套，室外1套 </w:t>
            </w:r>
          </w:p>
        </w:tc>
      </w:tr>
      <w:tr>
        <w:tblPrEx>
          <w:tblCellMar>
            <w:top w:w="15" w:type="dxa"/>
            <w:left w:w="15" w:type="dxa"/>
            <w:bottom w:w="15" w:type="dxa"/>
            <w:right w:w="15" w:type="dxa"/>
          </w:tblCellMar>
        </w:tblPrEx>
        <w:trPr>
          <w:trHeight w:val="438"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3114"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篮 球</w:t>
            </w:r>
          </w:p>
        </w:tc>
        <w:tc>
          <w:tcPr>
            <w:tcW w:w="999"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只</w:t>
            </w:r>
          </w:p>
        </w:tc>
        <w:tc>
          <w:tcPr>
            <w:tcW w:w="1027" w:type="dxa"/>
            <w:tcBorders>
              <w:top w:val="single" w:color="auto" w:sz="12" w:space="0"/>
              <w:bottom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4</w:t>
            </w:r>
          </w:p>
        </w:tc>
        <w:tc>
          <w:tcPr>
            <w:tcW w:w="2836" w:type="dxa"/>
            <w:tcBorders>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85"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3</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多功能羽毛球网架</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套</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3</w:t>
            </w:r>
          </w:p>
        </w:tc>
        <w:tc>
          <w:tcPr>
            <w:tcW w:w="2836"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 xml:space="preserve">室内2套，室外1套 </w:t>
            </w: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4</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羽毛球拍</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只</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8</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5</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乒乓球桌</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乒乓球拍</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只</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7</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台球桌</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8</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台球室地毯</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60</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9</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桌面足球桌</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10</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康乐棋桌</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11</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象棋桌</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12</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象 棋</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副</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13</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拔河绳</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rPr>
              <w:t>米</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20</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14</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拔河护具</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套</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20</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15</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跑步机</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16</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磁控踏步椭圆机</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17</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磁控健身单车</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18</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坐姿推胸训练器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19</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直臂夹胸训练器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20</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肩部推举训练器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21</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坐姿划船训练器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22</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旋转训练器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22" w:hRule="atLeast"/>
          <w:jc w:val="center"/>
        </w:trPr>
        <w:tc>
          <w:tcPr>
            <w:tcW w:w="1425" w:type="dxa"/>
            <w:vMerge w:val="continue"/>
            <w:tcBorders>
              <w:left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23</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坐姿屈腿训练器</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台</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restart"/>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第4标段</w:t>
            </w: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职工活动休息室沙发</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职工活动休息室沙发</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3</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职工活动休息室茶几</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3</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4</w:t>
            </w:r>
          </w:p>
        </w:tc>
        <w:tc>
          <w:tcPr>
            <w:tcW w:w="3114"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裁判桌</w:t>
            </w:r>
          </w:p>
        </w:tc>
        <w:tc>
          <w:tcPr>
            <w:tcW w:w="999"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bottom w:val="single" w:color="auto"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10</w:t>
            </w:r>
          </w:p>
        </w:tc>
        <w:tc>
          <w:tcPr>
            <w:tcW w:w="2836" w:type="dxa"/>
            <w:tcBorders>
              <w:bottom w:val="single" w:color="auto"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5</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裁判椅</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把</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20</w:t>
            </w:r>
          </w:p>
        </w:tc>
        <w:tc>
          <w:tcPr>
            <w:tcW w:w="283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6</w:t>
            </w:r>
          </w:p>
        </w:tc>
        <w:tc>
          <w:tcPr>
            <w:tcW w:w="3114"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职工活动室更衣柜</w:t>
            </w:r>
          </w:p>
        </w:tc>
        <w:tc>
          <w:tcPr>
            <w:tcW w:w="999"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个</w:t>
            </w:r>
          </w:p>
        </w:tc>
        <w:tc>
          <w:tcPr>
            <w:tcW w:w="1027" w:type="dxa"/>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10</w:t>
            </w:r>
          </w:p>
        </w:tc>
        <w:tc>
          <w:tcPr>
            <w:tcW w:w="2836"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38"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7</w:t>
            </w:r>
          </w:p>
        </w:tc>
        <w:tc>
          <w:tcPr>
            <w:tcW w:w="3114"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职工活动室长条凳</w:t>
            </w:r>
          </w:p>
        </w:tc>
        <w:tc>
          <w:tcPr>
            <w:tcW w:w="999"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张</w:t>
            </w:r>
          </w:p>
        </w:tc>
        <w:tc>
          <w:tcPr>
            <w:tcW w:w="1027" w:type="dxa"/>
            <w:tcBorders>
              <w:top w:val="single" w:color="auto"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5</w:t>
            </w:r>
          </w:p>
        </w:tc>
        <w:tc>
          <w:tcPr>
            <w:tcW w:w="2836" w:type="dxa"/>
            <w:tcBorders>
              <w:top w:val="single" w:color="auto"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r>
        <w:tblPrEx>
          <w:tblCellMar>
            <w:top w:w="15" w:type="dxa"/>
            <w:left w:w="15" w:type="dxa"/>
            <w:bottom w:w="15" w:type="dxa"/>
            <w:right w:w="15" w:type="dxa"/>
          </w:tblCellMar>
        </w:tblPrEx>
        <w:trPr>
          <w:trHeight w:val="469" w:hRule="atLeast"/>
          <w:jc w:val="center"/>
        </w:trPr>
        <w:tc>
          <w:tcPr>
            <w:tcW w:w="1425" w:type="dxa"/>
            <w:vMerge w:val="continue"/>
            <w:tcBorders>
              <w:top w:val="single" w:color="000000" w:sz="12" w:space="0"/>
              <w:left w:val="single" w:color="000000" w:sz="12" w:space="0"/>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c>
          <w:tcPr>
            <w:tcW w:w="557"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8</w:t>
            </w:r>
          </w:p>
        </w:tc>
        <w:tc>
          <w:tcPr>
            <w:tcW w:w="3114"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篮球场观赛塑料方凳</w:t>
            </w:r>
          </w:p>
        </w:tc>
        <w:tc>
          <w:tcPr>
            <w:tcW w:w="999"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只</w:t>
            </w:r>
          </w:p>
        </w:tc>
        <w:tc>
          <w:tcPr>
            <w:tcW w:w="1027" w:type="dxa"/>
            <w:tcBorders>
              <w:bottom w:val="single" w:color="000000" w:sz="12" w:space="0"/>
              <w:right w:val="single" w:color="000000" w:sz="12" w:space="0"/>
            </w:tcBorders>
            <w:shd w:val="clear" w:color="auto" w:fill="auto"/>
            <w:vAlign w:val="center"/>
          </w:tcPr>
          <w:p>
            <w:pPr>
              <w:widowControl/>
              <w:jc w:val="center"/>
              <w:textAlignment w:val="center"/>
              <w:rPr>
                <w:rFonts w:ascii="宋体" w:hAnsi="宋体" w:eastAsia="宋体" w:cs="宋体"/>
                <w:color w:val="000000"/>
                <w:sz w:val="22"/>
                <w:highlight w:val="none"/>
              </w:rPr>
            </w:pPr>
            <w:r>
              <w:rPr>
                <w:rFonts w:hint="eastAsia" w:ascii="宋体" w:hAnsi="宋体" w:eastAsia="宋体" w:cs="宋体"/>
                <w:color w:val="000000"/>
                <w:sz w:val="22"/>
                <w:highlight w:val="none"/>
                <w:lang w:bidi="ar"/>
              </w:rPr>
              <w:t>200</w:t>
            </w:r>
          </w:p>
        </w:tc>
        <w:tc>
          <w:tcPr>
            <w:tcW w:w="2836" w:type="dxa"/>
            <w:tcBorders>
              <w:bottom w:val="single" w:color="000000" w:sz="12" w:space="0"/>
              <w:right w:val="single" w:color="000000" w:sz="12" w:space="0"/>
            </w:tcBorders>
            <w:shd w:val="clear" w:color="auto" w:fill="auto"/>
            <w:vAlign w:val="center"/>
          </w:tcPr>
          <w:p>
            <w:pPr>
              <w:jc w:val="center"/>
              <w:rPr>
                <w:rFonts w:ascii="宋体" w:hAnsi="宋体" w:eastAsia="宋体" w:cs="宋体"/>
                <w:color w:val="000000"/>
                <w:sz w:val="22"/>
                <w:highlight w:val="none"/>
              </w:rPr>
            </w:pPr>
          </w:p>
        </w:tc>
      </w:tr>
    </w:tbl>
    <w:p>
      <w:pPr>
        <w:spacing w:line="560" w:lineRule="exact"/>
        <w:jc w:val="left"/>
        <w:rPr>
          <w:rFonts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具体技术要求及参数以招标文件第五章《技术规格》为准。</w:t>
      </w:r>
    </w:p>
    <w:p>
      <w:pPr>
        <w:spacing w:line="56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三、投标人资格要求</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1.投标人须是在中华人民共和国境内合法注册的，具有有效的营业执照，具有独立法人资格的制造商或代理商，并在人员、设备、资金等方面具备相应的供货能力（代理商投标的应提供制造厂商相关证书）。</w:t>
      </w:r>
    </w:p>
    <w:p>
      <w:pPr>
        <w:spacing w:line="520" w:lineRule="exact"/>
        <w:ind w:firstLine="480"/>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投标人须提供本项目招标文件第五章技术规格中设备要求提供的相应证书（详见第五章技术规格）</w:t>
      </w:r>
    </w:p>
    <w:p>
      <w:pPr>
        <w:spacing w:line="520" w:lineRule="exact"/>
        <w:ind w:firstLine="480"/>
        <w:jc w:val="left"/>
        <w:rPr>
          <w:rFonts w:ascii="宋体" w:hAnsi="宋体" w:eastAsia="宋体" w:cs="宋体"/>
          <w:bCs/>
          <w:sz w:val="24"/>
          <w:szCs w:val="24"/>
          <w:highlight w:val="none"/>
        </w:rPr>
      </w:pPr>
      <w:r>
        <w:rPr>
          <w:rFonts w:hint="eastAsia" w:ascii="宋体" w:hAnsi="宋体" w:eastAsia="宋体" w:cs="宋体"/>
          <w:bCs/>
          <w:sz w:val="24"/>
          <w:szCs w:val="24"/>
          <w:highlight w:val="none"/>
        </w:rPr>
        <w:t>3</w:t>
      </w:r>
      <w:r>
        <w:rPr>
          <w:rFonts w:hint="eastAsia" w:ascii="宋体" w:hAnsi="宋体" w:eastAsia="宋体" w:cs="宋体"/>
          <w:b/>
          <w:sz w:val="24"/>
          <w:szCs w:val="24"/>
          <w:highlight w:val="none"/>
        </w:rPr>
        <w:t>.</w:t>
      </w:r>
      <w:r>
        <w:rPr>
          <w:rFonts w:hint="eastAsia" w:ascii="宋体" w:hAnsi="宋体" w:eastAsia="宋体" w:cs="宋体"/>
          <w:sz w:val="24"/>
          <w:szCs w:val="24"/>
          <w:highlight w:val="none"/>
        </w:rPr>
        <w:t>投标人须提供2021年1月1日至今</w:t>
      </w:r>
      <w:r>
        <w:rPr>
          <w:rFonts w:hint="eastAsia" w:ascii="宋体" w:hAnsi="宋体" w:eastAsia="宋体" w:cs="宋体"/>
          <w:bCs/>
          <w:sz w:val="24"/>
          <w:szCs w:val="24"/>
          <w:highlight w:val="none"/>
        </w:rPr>
        <w:t>至少有1项类似供货业绩（以中标通知书或合同为准）。</w:t>
      </w:r>
    </w:p>
    <w:p>
      <w:pPr>
        <w:spacing w:line="520" w:lineRule="exact"/>
        <w:ind w:firstLine="480"/>
        <w:jc w:val="left"/>
        <w:rPr>
          <w:rFonts w:ascii="宋体" w:hAnsi="宋体" w:eastAsia="宋体" w:cs="宋体"/>
          <w:sz w:val="24"/>
          <w:szCs w:val="24"/>
          <w:highlight w:val="none"/>
        </w:rPr>
      </w:pPr>
      <w:r>
        <w:rPr>
          <w:rFonts w:hint="eastAsia" w:ascii="宋体" w:hAnsi="宋体" w:eastAsia="宋体" w:cs="宋体"/>
          <w:sz w:val="24"/>
          <w:szCs w:val="24"/>
          <w:highlight w:val="none"/>
        </w:rPr>
        <w:t>4.财务要求：投标人应具有良好的财务状况，没有处于被责令停业，财产被接管、冻结或破产状态。投标人须提供2022年度或2023年度经会计师事务所或审计机构出具的财务会计报告，不足一年或无审计报告的提供银行出具的资信证明（原件扫描件）。</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信誉要求：投标人未被列入“信用中国”网站(www.creditchina.gov.cn)记录失信被执行人或重大税收违法案件当事人名单或严重违法失信行为记录名单或经营异常名录（以投标截止日前七天内各投标人自行在以上网站查询结果为准，相关截图放入投标文件，如相关记录失效，投标人需提供相关证明资料）。</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6.本次招标不接受联合体投标。</w:t>
      </w:r>
    </w:p>
    <w:p>
      <w:pPr>
        <w:spacing w:line="52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四、资格审查方式</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本次招标采用资格后审。投标人自行判断是否符合资格要求，并决定是否参加投标。</w:t>
      </w:r>
    </w:p>
    <w:p>
      <w:pPr>
        <w:spacing w:line="52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五、招标文件的获取</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bookmarkStart w:id="0" w:name="_Toc4130_WPSOffice_Level2"/>
      <w:r>
        <w:rPr>
          <w:rFonts w:hint="eastAsia" w:ascii="宋体" w:hAnsi="宋体" w:eastAsia="宋体" w:cs="宋体"/>
          <w:color w:val="000000" w:themeColor="text1"/>
          <w:sz w:val="24"/>
          <w:szCs w:val="24"/>
          <w:highlight w:val="none"/>
          <w14:textFill>
            <w14:solidFill>
              <w14:schemeClr w14:val="tx1"/>
            </w14:solidFill>
          </w14:textFill>
        </w:rPr>
        <w:t>1</w:t>
      </w:r>
      <w:bookmarkStart w:id="1" w:name="_Toc51261161"/>
      <w:bookmarkStart w:id="2" w:name="_Toc51261237"/>
      <w:bookmarkStart w:id="3" w:name="_Toc32675"/>
      <w:bookmarkStart w:id="4" w:name="_Toc49257663"/>
      <w:r>
        <w:rPr>
          <w:rFonts w:hint="eastAsia" w:ascii="宋体" w:hAnsi="宋体" w:eastAsia="宋体" w:cs="宋体"/>
          <w:color w:val="000000" w:themeColor="text1"/>
          <w:sz w:val="24"/>
          <w:szCs w:val="24"/>
          <w:highlight w:val="none"/>
          <w14:textFill>
            <w14:solidFill>
              <w14:schemeClr w14:val="tx1"/>
            </w14:solidFill>
          </w14:textFill>
        </w:rPr>
        <w:t>、凡有意参加投标者，请于2024年04月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23</w:t>
      </w:r>
      <w:r>
        <w:rPr>
          <w:rFonts w:hint="eastAsia" w:ascii="宋体" w:hAnsi="宋体" w:eastAsia="宋体" w:cs="宋体"/>
          <w:color w:val="000000" w:themeColor="text1"/>
          <w:sz w:val="24"/>
          <w:szCs w:val="24"/>
          <w:highlight w:val="none"/>
          <w14:textFill>
            <w14:solidFill>
              <w14:schemeClr w14:val="tx1"/>
            </w14:solidFill>
          </w14:textFill>
        </w:rPr>
        <w:t>日至2024年04月</w:t>
      </w:r>
      <w:r>
        <w:rPr>
          <w:rFonts w:hint="eastAsia" w:ascii="宋体" w:hAnsi="宋体" w:eastAsia="宋体" w:cs="宋体"/>
          <w:color w:val="000000" w:themeColor="text1"/>
          <w:sz w:val="24"/>
          <w:szCs w:val="24"/>
          <w:highlight w:val="none"/>
          <w:lang w:val="en-US" w:eastAsia="zh-CN"/>
          <w14:textFill>
            <w14:solidFill>
              <w14:schemeClr w14:val="tx1"/>
            </w14:solidFill>
          </w14:textFill>
        </w:rPr>
        <w:t>28</w:t>
      </w:r>
      <w:r>
        <w:rPr>
          <w:rFonts w:hint="eastAsia" w:ascii="宋体" w:hAnsi="宋体" w:eastAsia="宋体" w:cs="宋体"/>
          <w:color w:val="000000" w:themeColor="text1"/>
          <w:sz w:val="24"/>
          <w:szCs w:val="24"/>
          <w:highlight w:val="none"/>
          <w14:textFill>
            <w14:solidFill>
              <w14:schemeClr w14:val="tx1"/>
            </w14:solidFill>
          </w14:textFill>
        </w:rPr>
        <w:t>日，每日上午8时30分至11时30分，下午2时30分至5时30分（北京时间，下同），在甘肃智慧阳光采购平台完成投标登记的投标人（供应商），向招标代理机构缴纳标书费用后方可在甘肃智慧阳光采购平台系统中下载招标（采购）文件。</w:t>
      </w:r>
    </w:p>
    <w:bookmarkEnd w:id="1"/>
    <w:bookmarkEnd w:id="2"/>
    <w:bookmarkEnd w:id="3"/>
    <w:bookmarkEnd w:id="4"/>
    <w:p>
      <w:pPr>
        <w:spacing w:line="520" w:lineRule="exact"/>
        <w:ind w:firstLine="480"/>
        <w:jc w:val="left"/>
        <w:rPr>
          <w:rFonts w:ascii="宋体" w:hAnsi="宋体" w:eastAsia="宋体" w:cs="宋体"/>
          <w:sz w:val="24"/>
          <w:szCs w:val="24"/>
          <w:highlight w:val="none"/>
        </w:rPr>
      </w:pPr>
      <w:r>
        <w:rPr>
          <w:rFonts w:hint="eastAsia" w:ascii="宋体" w:hAnsi="宋体" w:eastAsia="宋体" w:cs="宋体"/>
          <w:sz w:val="24"/>
          <w:szCs w:val="24"/>
          <w:highlight w:val="none"/>
        </w:rPr>
        <w:t>2、每标段招标文件售价500元，售后不退。</w:t>
      </w:r>
      <w:bookmarkStart w:id="5" w:name="_GoBack"/>
      <w:bookmarkEnd w:id="5"/>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3、此账号用于办理标书费：</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收款人名称：甘肃省招标中心有限公司</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开户银行：兰州农村商业银行股份有限公司雁滩支行</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账号：010410122000130231</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行号：314821008010</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汇款时请备注招标编号：</w:t>
      </w:r>
      <w:r>
        <w:rPr>
          <w:rFonts w:hint="eastAsia" w:ascii="宋体" w:hAnsi="宋体" w:eastAsia="宋体" w:cs="宋体"/>
          <w:b/>
          <w:bCs/>
          <w:color w:val="000000" w:themeColor="text1"/>
          <w:sz w:val="24"/>
          <w:szCs w:val="24"/>
          <w:highlight w:val="none"/>
          <w14:textFill>
            <w14:solidFill>
              <w14:schemeClr w14:val="tx1"/>
            </w14:solidFill>
          </w14:textFill>
        </w:rPr>
        <w:t xml:space="preserve">GZ2404160-JMJTJT </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注意事项：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登记、获取标书、参与投标报价等后续工作（具体内容详见招标文件）甘肃智慧阳光采购平台技术支持电话：400-102-0005。</w:t>
      </w:r>
    </w:p>
    <w:bookmarkEnd w:id="0"/>
    <w:p>
      <w:pPr>
        <w:spacing w:line="52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六、投标文件的递交</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投标文件递交的截止时间（投标截止时间，下同）为2024年05月</w:t>
      </w: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14:textFill>
            <w14:solidFill>
              <w14:schemeClr w14:val="tx1"/>
            </w14:solidFill>
          </w14:textFill>
        </w:rPr>
        <w:t>日09时30分，投标人应于当日09时30分前将投标文件递交至甘肃智慧阳光采购平台白银分平台第一开标厅（地址：甘肃省白银市白银区公园路452号4楼）。</w:t>
      </w:r>
    </w:p>
    <w:p>
      <w:pPr>
        <w:spacing w:line="52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七、发布公告的媒介</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本次招标公告在甘肃经济信息网（网址：http://www.gsei.com.cn）、甘肃智慧阳光采购平台（网址：http:// </w:t>
      </w:r>
      <w:r>
        <w:rPr>
          <w:highlight w:val="none"/>
        </w:rPr>
        <w:fldChar w:fldCharType="begin"/>
      </w:r>
      <w:r>
        <w:rPr>
          <w:highlight w:val="none"/>
        </w:rPr>
        <w:instrText xml:space="preserve"> HYPERLINK "http://www.zhygcg.com/）上发布。因轻信其他媒体、组织或个人提供的信息而造成损失的，招标人、招标代理机构概不负责。" </w:instrText>
      </w:r>
      <w:r>
        <w:rPr>
          <w:highlight w:val="none"/>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www.zhygcg.com/）、上发布。因轻信其他媒体、组织或个人提供的信息而造成损失的，招标人、招标代理机构概不负责。</w:t>
      </w:r>
      <w:r>
        <w:rPr>
          <w:rFonts w:hint="eastAsia" w:ascii="宋体" w:hAnsi="宋体" w:eastAsia="宋体" w:cs="宋体"/>
          <w:color w:val="000000" w:themeColor="text1"/>
          <w:sz w:val="24"/>
          <w:szCs w:val="24"/>
          <w:highlight w:val="none"/>
          <w14:textFill>
            <w14:solidFill>
              <w14:schemeClr w14:val="tx1"/>
            </w14:solidFill>
          </w14:textFill>
        </w:rPr>
        <w:fldChar w:fldCharType="end"/>
      </w:r>
    </w:p>
    <w:p>
      <w:pPr>
        <w:spacing w:line="520" w:lineRule="exact"/>
        <w:ind w:firstLine="482"/>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八、联系方式</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招标人：靖煤集团景泰煤业有限公司 </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  址：甘肃省白银市景泰县</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联系人：李先生</w:t>
      </w:r>
    </w:p>
    <w:p>
      <w:pPr>
        <w:spacing w:line="520" w:lineRule="exact"/>
        <w:ind w:firstLine="480"/>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联系方式：0943-5801572</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招标代理机构：甘肃省招标中心有限公司</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地址：甘肃省兰州市城关区飞雁街118号（邮编730010）</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联系人：张志程  邵凯旋        </w:t>
      </w:r>
    </w:p>
    <w:p>
      <w:pPr>
        <w:spacing w:line="520" w:lineRule="exact"/>
        <w:ind w:firstLine="482"/>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联系方式：13028706668（张） 17693440729（邵）</w:t>
      </w:r>
    </w:p>
    <w:p>
      <w:pPr>
        <w:spacing w:line="520" w:lineRule="exact"/>
        <w:ind w:firstLine="482"/>
        <w:jc w:val="left"/>
        <w:rPr>
          <w:rFonts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邮箱：1074447927@qq.com </w:t>
      </w:r>
    </w:p>
    <w:p>
      <w:pPr>
        <w:spacing w:before="240" w:beforeLines="100" w:line="360" w:lineRule="auto"/>
        <w:ind w:firstLine="465"/>
        <w:jc w:val="left"/>
        <w:rPr>
          <w:rFonts w:ascii="宋体" w:hAnsi="宋体" w:eastAsia="宋体" w:cs="宋体"/>
          <w:color w:val="000000" w:themeColor="text1"/>
          <w:spacing w:val="-4"/>
          <w:sz w:val="24"/>
          <w:szCs w:val="24"/>
          <w:highlight w:val="none"/>
          <w14:textFill>
            <w14:solidFill>
              <w14:schemeClr w14:val="tx1"/>
            </w14:solidFill>
          </w14:textFill>
        </w:rPr>
      </w:pPr>
      <w:r>
        <w:rPr>
          <w:rFonts w:hint="eastAsia" w:ascii="宋体" w:hAnsi="宋体" w:eastAsia="宋体" w:cs="宋体"/>
          <w:color w:val="000000" w:themeColor="text1"/>
          <w:spacing w:val="-4"/>
          <w:sz w:val="24"/>
          <w:szCs w:val="24"/>
          <w:highlight w:val="none"/>
          <w14:textFill>
            <w14:solidFill>
              <w14:schemeClr w14:val="tx1"/>
            </w14:solidFill>
          </w14:textFill>
        </w:rPr>
        <w:t xml:space="preserve">                                                甘肃省招标中心有限公司</w:t>
      </w:r>
    </w:p>
    <w:p>
      <w:pPr>
        <w:spacing w:before="240" w:beforeLines="100" w:line="360" w:lineRule="auto"/>
        <w:ind w:firstLine="6542" w:firstLineChars="2820"/>
        <w:jc w:val="left"/>
        <w:rPr>
          <w:rFonts w:ascii="宋体" w:hAnsi="宋体" w:eastAsia="宋体" w:cs="宋体"/>
          <w:color w:val="000000" w:themeColor="text1"/>
          <w:spacing w:val="-4"/>
          <w:sz w:val="24"/>
          <w:szCs w:val="24"/>
          <w:highlight w:val="none"/>
          <w14:textFill>
            <w14:solidFill>
              <w14:schemeClr w14:val="tx1"/>
            </w14:solidFill>
          </w14:textFill>
        </w:rPr>
        <w:sectPr>
          <w:headerReference r:id="rId3" w:type="default"/>
          <w:footerReference r:id="rId4" w:type="default"/>
          <w:pgSz w:w="11910" w:h="16840"/>
          <w:pgMar w:top="1247" w:right="1134" w:bottom="1247" w:left="1134" w:header="624" w:footer="850" w:gutter="0"/>
          <w:pgBorders>
            <w:top w:val="none" w:sz="0" w:space="0"/>
            <w:left w:val="none" w:sz="0" w:space="0"/>
            <w:bottom w:val="none" w:sz="0" w:space="0"/>
            <w:right w:val="none" w:sz="0" w:space="0"/>
          </w:pgBorders>
          <w:pgNumType w:start="1"/>
          <w:cols w:space="720" w:num="1"/>
        </w:sectPr>
      </w:pPr>
      <w:r>
        <w:rPr>
          <w:rFonts w:hint="eastAsia" w:ascii="宋体" w:hAnsi="宋体" w:eastAsia="宋体" w:cs="宋体"/>
          <w:color w:val="000000" w:themeColor="text1"/>
          <w:spacing w:val="-4"/>
          <w:sz w:val="24"/>
          <w:szCs w:val="24"/>
          <w:highlight w:val="none"/>
          <w14:textFill>
            <w14:solidFill>
              <w14:schemeClr w14:val="tx1"/>
            </w14:solidFill>
          </w14:textFill>
        </w:rPr>
        <w:t>2024年04月</w:t>
      </w:r>
      <w:r>
        <w:rPr>
          <w:rFonts w:hint="eastAsia" w:ascii="宋体" w:hAnsi="宋体" w:eastAsia="宋体" w:cs="宋体"/>
          <w:color w:val="000000" w:themeColor="text1"/>
          <w:spacing w:val="-4"/>
          <w:sz w:val="24"/>
          <w:szCs w:val="24"/>
          <w:highlight w:val="none"/>
          <w:lang w:val="en-US" w:eastAsia="zh-CN"/>
          <w14:textFill>
            <w14:solidFill>
              <w14:schemeClr w14:val="tx1"/>
            </w14:solidFill>
          </w14:textFill>
        </w:rPr>
        <w:t>23</w:t>
      </w:r>
      <w:r>
        <w:rPr>
          <w:rFonts w:hint="eastAsia" w:ascii="宋体" w:hAnsi="宋体" w:eastAsia="宋体" w:cs="宋体"/>
          <w:color w:val="000000" w:themeColor="text1"/>
          <w:spacing w:val="-4"/>
          <w:sz w:val="24"/>
          <w:szCs w:val="24"/>
          <w:highlight w:val="none"/>
          <w14:textFill>
            <w14:solidFill>
              <w14:schemeClr w14:val="tx1"/>
            </w14:solidFill>
          </w14:textFill>
        </w:rPr>
        <w:t>日</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line="14" w:lineRule="auto"/>
      <w:ind w:left="0"/>
      <w:rPr>
        <w:rFonts w:hint="default"/>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rPr>
                          </w:pPr>
                          <w:r>
                            <w:fldChar w:fldCharType="begin"/>
                          </w:r>
                          <w:r>
                            <w:instrText xml:space="preserve"> PAGE  \* MERGEFORMAT </w:instrText>
                          </w:r>
                          <w:r>
                            <w:fldChar w:fldCharType="separate"/>
                          </w:r>
                          <w:r>
                            <w:rPr>
                              <w:rFonts w:hint="default"/>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3"/>
                      <w:rPr>
                        <w:rFonts w:hint="default"/>
                      </w:rPr>
                    </w:pPr>
                    <w:r>
                      <w:fldChar w:fldCharType="begin"/>
                    </w:r>
                    <w:r>
                      <w:instrText xml:space="preserve"> PAGE  \* MERGEFORMAT </w:instrText>
                    </w:r>
                    <w:r>
                      <w:fldChar w:fldCharType="separate"/>
                    </w:r>
                    <w:r>
                      <w:rPr>
                        <w:rFonts w:hint="default"/>
                      </w:rPr>
                      <w:t>23</w:t>
                    </w:r>
                    <w:r>
                      <w:fldChar w:fldCharType="end"/>
                    </w:r>
                  </w:p>
                </w:txbxContent>
              </v:textbox>
            </v:shape>
          </w:pict>
        </mc:Fallback>
      </mc:AlternateContent>
    </w:r>
    <w:r>
      <w:rPr>
        <w:rFonts w:hint="default"/>
      </w:rPr>
      <mc:AlternateContent>
        <mc:Choice Requires="wps">
          <w:drawing>
            <wp:anchor distT="0" distB="0" distL="114300" distR="114300" simplePos="0" relativeHeight="251659264" behindDoc="1" locked="0" layoutInCell="1" allowOverlap="1">
              <wp:simplePos x="0" y="0"/>
              <wp:positionH relativeFrom="page">
                <wp:posOffset>3709035</wp:posOffset>
              </wp:positionH>
              <wp:positionV relativeFrom="page">
                <wp:posOffset>9788525</wp:posOffset>
              </wp:positionV>
              <wp:extent cx="140970" cy="1524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40970" cy="152400"/>
                      </a:xfrm>
                      <a:prstGeom prst="rect">
                        <a:avLst/>
                      </a:prstGeom>
                      <a:noFill/>
                      <a:ln>
                        <a:noFill/>
                      </a:ln>
                    </wps:spPr>
                    <wps:txbx>
                      <w:txbxContent>
                        <w:p>
                          <w:pPr>
                            <w:pStyle w:val="2"/>
                            <w:kinsoku w:val="0"/>
                            <w:overflowPunct w:val="0"/>
                            <w:spacing w:before="12"/>
                            <w:ind w:left="20"/>
                            <w:rPr>
                              <w:rFonts w:hint="default" w:ascii="Times New Roman" w:hAnsi="Times New Roman" w:eastAsia="Times New Roman"/>
                              <w:sz w:val="18"/>
                            </w:rPr>
                          </w:pPr>
                        </w:p>
                      </w:txbxContent>
                    </wps:txbx>
                    <wps:bodyPr lIns="0" tIns="0" rIns="0" bIns="0" upright="1"/>
                  </wps:wsp>
                </a:graphicData>
              </a:graphic>
            </wp:anchor>
          </w:drawing>
        </mc:Choice>
        <mc:Fallback>
          <w:pict>
            <v:shape id="文本框 2" o:spid="_x0000_s1026" o:spt="202" type="#_x0000_t202" style="position:absolute;left:0pt;margin-left:292.05pt;margin-top:770.75pt;height:12pt;width:11.1pt;mso-position-horizontal-relative:page;mso-position-vertical-relative:page;z-index:-251657216;mso-width-relative:page;mso-height-relative:page;" filled="f" stroked="f" coordsize="21600,21600" o:gfxdata="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lQxSn2gAAAA0BAAAPAAAAAAAAAAEAIAAAACIAAABkcnMvZG93bnJldi54bWxQSwEC&#10;FAAUAAAACACHTuJAFWMw6rkBAABxAwAADgAAAAAAAAABACAAAAApAQAAZHJzL2Uyb0RvYy54bWxQ&#10;SwUGAAAAAAYABgBZAQAAVAUAAAAA&#10;">
              <v:fill on="f" focussize="0,0"/>
              <v:stroke on="f"/>
              <v:imagedata o:title=""/>
              <o:lock v:ext="edit" aspectratio="f"/>
              <v:textbox inset="0mm,0mm,0mm,0mm">
                <w:txbxContent>
                  <w:p>
                    <w:pPr>
                      <w:pStyle w:val="2"/>
                      <w:kinsoku w:val="0"/>
                      <w:overflowPunct w:val="0"/>
                      <w:spacing w:before="12"/>
                      <w:ind w:left="20"/>
                      <w:rPr>
                        <w:rFonts w:hint="default" w:ascii="Times New Roman" w:hAnsi="Times New Roman" w:eastAsia="Times New Roman"/>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ascii="宋体" w:hAnsi="宋体" w:eastAsia="宋体" w:cs="宋体"/>
        <w:color w:val="000000" w:themeColor="text1"/>
        <w:sz w:val="20"/>
        <w:szCs w:val="18"/>
        <w14:textFill>
          <w14:solidFill>
            <w14:schemeClr w14:val="tx1"/>
          </w14:solidFill>
        </w14:textFill>
      </w:rPr>
    </w:pPr>
    <w:r>
      <w:rPr>
        <w:rFonts w:hint="eastAsia" w:ascii="宋体" w:hAnsi="宋体" w:eastAsia="宋体" w:cs="宋体"/>
        <w:color w:val="000000" w:themeColor="text1"/>
        <w:sz w:val="20"/>
        <w:szCs w:val="18"/>
        <w14:textFill>
          <w14:solidFill>
            <w14:schemeClr w14:val="tx1"/>
          </w14:solidFill>
        </w14:textFill>
      </w:rPr>
      <w:t>白岩子矿井及选煤厂项目体育运动设施器材及职工活动场馆用品采购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NmQwYzM4NjkzYzRkN2Q5NmQ4MjEwYmVkNmJhMDcifQ=="/>
  </w:docVars>
  <w:rsids>
    <w:rsidRoot w:val="00000000"/>
    <w:rsid w:val="25B9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1"/>
    <w:pPr>
      <w:ind w:left="123"/>
    </w:pPr>
    <w:rPr>
      <w:rFonts w:hint="eastAsia"/>
      <w:sz w:val="24"/>
      <w:szCs w:val="24"/>
    </w:rPr>
  </w:style>
  <w:style w:type="paragraph" w:styleId="3">
    <w:name w:val="footer"/>
    <w:basedOn w:val="1"/>
    <w:unhideWhenUsed/>
    <w:qFormat/>
    <w:uiPriority w:val="99"/>
    <w:pPr>
      <w:tabs>
        <w:tab w:val="center" w:pos="4153"/>
        <w:tab w:val="right" w:pos="8306"/>
      </w:tabs>
      <w:snapToGrid w:val="0"/>
    </w:pPr>
    <w:rPr>
      <w:rFonts w:hint="eastAsia"/>
      <w:sz w:val="18"/>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2024-04-23T08:12:30Z</dcterms:created>
  <dc:creator>10744</dc:creator>
  <cp:lastModifiedBy>超人不会飞</cp:lastModifiedBy>
  <dcterms:modified xsi:type="dcterms:W3CDTF">2024-04-23T08:13:21Z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C090F3985CD447C78ED157C350FDDE63_12</vt:lpwstr>
  </property>
</Properties>
</file>